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2976"/>
        <w:gridCol w:w="5808"/>
        <w:gridCol w:w="1630"/>
      </w:tblGrid>
      <w:tr w:rsidR="00FA4313" w:rsidRPr="00FA4313" w14:paraId="059EDFB8" w14:textId="77777777" w:rsidTr="004112D9">
        <w:trPr>
          <w:trHeight w:val="990"/>
        </w:trPr>
        <w:tc>
          <w:tcPr>
            <w:tcW w:w="2976" w:type="dxa"/>
          </w:tcPr>
          <w:p w14:paraId="06913AFB" w14:textId="77777777" w:rsidR="00FA4313" w:rsidRPr="00FA4313" w:rsidRDefault="00FA4313" w:rsidP="00FA4313">
            <w:pPr>
              <w:spacing w:before="240" w:after="240"/>
            </w:pPr>
            <w:r w:rsidRPr="00FA4313">
              <w:rPr>
                <w:noProof/>
              </w:rPr>
              <w:drawing>
                <wp:inline distT="0" distB="0" distL="0" distR="0" wp14:anchorId="52B83673" wp14:editId="000DBFC2">
                  <wp:extent cx="1751566" cy="380010"/>
                  <wp:effectExtent l="0" t="0" r="1270" b="1270"/>
                  <wp:docPr id="3" name="Picture 3" descr="http://aosis.co.za/addons/shared_addons/themes/aosi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osis.co.za/addons/shared_addons/themes/aosi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342" cy="384734"/>
                          </a:xfrm>
                          <a:prstGeom prst="rect">
                            <a:avLst/>
                          </a:prstGeom>
                          <a:noFill/>
                          <a:ln>
                            <a:noFill/>
                          </a:ln>
                        </pic:spPr>
                      </pic:pic>
                    </a:graphicData>
                  </a:graphic>
                </wp:inline>
              </w:drawing>
            </w:r>
          </w:p>
        </w:tc>
        <w:tc>
          <w:tcPr>
            <w:tcW w:w="5808" w:type="dxa"/>
          </w:tcPr>
          <w:p w14:paraId="0C90557A" w14:textId="77777777" w:rsidR="00FA4313" w:rsidRPr="00FA4313" w:rsidRDefault="00FA4313" w:rsidP="00FA4313">
            <w:pPr>
              <w:rPr>
                <w:sz w:val="8"/>
                <w:szCs w:val="8"/>
              </w:rPr>
            </w:pPr>
          </w:p>
          <w:p w14:paraId="182BD5D5" w14:textId="77777777" w:rsidR="00FA4313" w:rsidRPr="00FA4313" w:rsidRDefault="00FA4313" w:rsidP="00FA4313">
            <w:pPr>
              <w:rPr>
                <w:sz w:val="24"/>
                <w:szCs w:val="24"/>
              </w:rPr>
            </w:pPr>
            <w:r w:rsidRPr="00FA4313">
              <w:rPr>
                <w:sz w:val="24"/>
                <w:szCs w:val="24"/>
              </w:rPr>
              <w:t xml:space="preserve">ACCEPTED MANUSCRIPT </w:t>
            </w:r>
          </w:p>
          <w:p w14:paraId="64B6FBCE" w14:textId="77777777" w:rsidR="00FA4313" w:rsidRPr="00FA4313" w:rsidRDefault="00FA4313" w:rsidP="00FA4313">
            <w:pPr>
              <w:rPr>
                <w:sz w:val="8"/>
                <w:szCs w:val="8"/>
              </w:rPr>
            </w:pPr>
            <w:r w:rsidRPr="00FA4313">
              <w:rPr>
                <w:sz w:val="24"/>
                <w:szCs w:val="24"/>
              </w:rPr>
              <w:t>YOUR INTRODUCTION TO THE LANGUAGE EDITING PROCESS</w:t>
            </w:r>
          </w:p>
        </w:tc>
        <w:tc>
          <w:tcPr>
            <w:tcW w:w="1630" w:type="dxa"/>
          </w:tcPr>
          <w:p w14:paraId="5AE70D36" w14:textId="77777777" w:rsidR="00FA4313" w:rsidRPr="00FA4313" w:rsidRDefault="00FA4313" w:rsidP="00FA4313">
            <w:pPr>
              <w:rPr>
                <w:sz w:val="6"/>
                <w:szCs w:val="6"/>
              </w:rPr>
            </w:pPr>
          </w:p>
          <w:p w14:paraId="6CF2C8BA" w14:textId="77777777" w:rsidR="00FA4313" w:rsidRPr="00FA4313" w:rsidRDefault="00FA4313" w:rsidP="00FA4313">
            <w:pPr>
              <w:rPr>
                <w:sz w:val="24"/>
                <w:szCs w:val="24"/>
              </w:rPr>
            </w:pPr>
            <w:r w:rsidRPr="00FA4313">
              <w:rPr>
                <w:sz w:val="24"/>
                <w:szCs w:val="24"/>
              </w:rPr>
              <w:t xml:space="preserve">COVER </w:t>
            </w:r>
          </w:p>
          <w:p w14:paraId="390B67EE" w14:textId="77777777" w:rsidR="00FA4313" w:rsidRPr="00FA4313" w:rsidRDefault="00FA4313" w:rsidP="00FA4313">
            <w:pPr>
              <w:rPr>
                <w:sz w:val="24"/>
                <w:szCs w:val="24"/>
              </w:rPr>
            </w:pPr>
            <w:r w:rsidRPr="00FA4313">
              <w:rPr>
                <w:sz w:val="24"/>
                <w:szCs w:val="24"/>
              </w:rPr>
              <w:t>PAGE</w:t>
            </w:r>
          </w:p>
        </w:tc>
      </w:tr>
    </w:tbl>
    <w:p w14:paraId="3AF9498B" w14:textId="77777777" w:rsidR="00FA4313" w:rsidRPr="00FA4313" w:rsidRDefault="00FA4313" w:rsidP="00FA4313">
      <w:pPr>
        <w:spacing w:after="0" w:line="240" w:lineRule="auto"/>
        <w:jc w:val="both"/>
        <w:rPr>
          <w:rFonts w:eastAsia="Times New Roman"/>
          <w:sz w:val="18"/>
          <w:szCs w:val="20"/>
          <w:lang w:val="en-GB"/>
        </w:rPr>
      </w:pPr>
      <w:r w:rsidRPr="00FA4313">
        <w:rPr>
          <w:sz w:val="18"/>
          <w:szCs w:val="20"/>
          <w:lang w:val="en-GB" w:eastAsia="en-US"/>
        </w:rPr>
        <w:t xml:space="preserve">AOSIS </w:t>
      </w:r>
      <w:r w:rsidRPr="00FA4313">
        <w:rPr>
          <w:rFonts w:eastAsia="Times New Roman"/>
          <w:sz w:val="18"/>
          <w:szCs w:val="20"/>
          <w:lang w:val="en-GB"/>
        </w:rPr>
        <w:t xml:space="preserve">would like to take this opportunity to inform you that the copy-edited (i.e. language edited) version of your manuscript, has been completed for your review. </w:t>
      </w:r>
      <w:r w:rsidRPr="00FA4313">
        <w:rPr>
          <w:rFonts w:eastAsia="Times New Roman"/>
          <w:b/>
          <w:sz w:val="18"/>
          <w:szCs w:val="20"/>
          <w:lang w:val="en-GB"/>
        </w:rPr>
        <w:t>Your manuscript will follow after the Manuscript Information Page.</w:t>
      </w:r>
    </w:p>
    <w:p w14:paraId="08874014" w14:textId="77777777" w:rsidR="00FA4313" w:rsidRPr="00FA4313" w:rsidRDefault="00FA4313" w:rsidP="00FA4313">
      <w:pPr>
        <w:spacing w:after="0" w:line="240" w:lineRule="auto"/>
        <w:jc w:val="both"/>
        <w:rPr>
          <w:rFonts w:eastAsia="Times New Roman"/>
          <w:sz w:val="6"/>
          <w:szCs w:val="8"/>
          <w:lang w:val="en-GB"/>
        </w:rPr>
      </w:pPr>
    </w:p>
    <w:p w14:paraId="47B1E5EE"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 xml:space="preserve">Kindly note that the publisher has to receive your manuscript within </w:t>
      </w:r>
      <w:r w:rsidRPr="00FA4313">
        <w:rPr>
          <w:rFonts w:eastAsia="Times New Roman"/>
          <w:b/>
          <w:sz w:val="18"/>
          <w:szCs w:val="20"/>
          <w:lang w:val="en-GB"/>
        </w:rPr>
        <w:t>two working days from you, unless alternative arrangements have been made with us</w:t>
      </w:r>
      <w:r w:rsidRPr="00FA4313">
        <w:rPr>
          <w:rFonts w:eastAsia="Times New Roman"/>
          <w:sz w:val="18"/>
          <w:szCs w:val="20"/>
          <w:lang w:val="en-GB"/>
        </w:rPr>
        <w:t>. Please make the necessary arrangements to ensure that you have ample time to review your manuscript.</w:t>
      </w:r>
    </w:p>
    <w:p w14:paraId="0ECEAAD0" w14:textId="77777777" w:rsidR="00FA4313" w:rsidRPr="00FA4313" w:rsidRDefault="00FA4313" w:rsidP="00FA4313">
      <w:pPr>
        <w:spacing w:after="0" w:line="240" w:lineRule="auto"/>
        <w:jc w:val="both"/>
        <w:rPr>
          <w:rFonts w:eastAsia="Times New Roman"/>
          <w:sz w:val="6"/>
          <w:szCs w:val="8"/>
          <w:lang w:val="en-GB"/>
        </w:rPr>
      </w:pPr>
    </w:p>
    <w:p w14:paraId="297BAEC0"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 xml:space="preserve">Your manuscript has been accepted for publication after being subjected to a blind peer review process.  Please note that we do not allow large new portions of text (ideas or concepts) to be introduced to the manuscript after it has been accepted for publication. If large portions of text are inserted into the manuscript we will transfer it back to the review-stage for another round of peer review, which will cause a delay and added expenses in the publication of your manuscript. </w:t>
      </w:r>
    </w:p>
    <w:p w14:paraId="08EBD6A4" w14:textId="77777777" w:rsidR="00FA4313" w:rsidRPr="00FA4313" w:rsidRDefault="00FA4313" w:rsidP="00FA4313">
      <w:pPr>
        <w:spacing w:after="0" w:line="240" w:lineRule="auto"/>
        <w:jc w:val="both"/>
        <w:rPr>
          <w:rFonts w:eastAsia="Times New Roman"/>
          <w:sz w:val="6"/>
          <w:szCs w:val="8"/>
          <w:lang w:val="en-GB"/>
        </w:rPr>
      </w:pPr>
    </w:p>
    <w:p w14:paraId="5A9611B7"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 xml:space="preserve">To avoid publication delays we ask that you carefully scrutinise the changes that have been suggested by the professional language editor. Please ensure that you have enabled the ‘track change’ function in your version of Microsoft Word </w:t>
      </w:r>
      <w:r w:rsidRPr="00FA4313">
        <w:rPr>
          <w:rFonts w:eastAsia="Times New Roman"/>
          <w:i/>
          <w:sz w:val="18"/>
          <w:szCs w:val="20"/>
          <w:lang w:val="en-GB"/>
        </w:rPr>
        <w:t>prior</w:t>
      </w:r>
      <w:r w:rsidRPr="00FA4313">
        <w:rPr>
          <w:rFonts w:eastAsia="Times New Roman"/>
          <w:sz w:val="18"/>
          <w:szCs w:val="20"/>
          <w:lang w:val="en-GB"/>
        </w:rPr>
        <w:t xml:space="preserve"> to addressing all points of concern by:</w:t>
      </w:r>
    </w:p>
    <w:p w14:paraId="4A3285E7" w14:textId="77777777" w:rsidR="00FA4313" w:rsidRPr="00FA4313" w:rsidRDefault="00FA4313" w:rsidP="00FA4313">
      <w:pPr>
        <w:numPr>
          <w:ilvl w:val="0"/>
          <w:numId w:val="5"/>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 xml:space="preserve">answering all questions posted by the </w:t>
      </w:r>
      <w:r w:rsidRPr="00FA4313">
        <w:rPr>
          <w:rFonts w:eastAsia="Times New Roman"/>
          <w:sz w:val="18"/>
          <w:szCs w:val="20"/>
          <w:lang w:val="en-GB"/>
        </w:rPr>
        <w:t>language</w:t>
      </w:r>
      <w:r w:rsidRPr="00FA4313" w:rsidDel="00635BCA">
        <w:rPr>
          <w:rFonts w:eastAsia="Times New Roman"/>
          <w:sz w:val="18"/>
          <w:szCs w:val="20"/>
          <w:lang w:val="en-GB" w:eastAsia="en-US"/>
        </w:rPr>
        <w:t xml:space="preserve"> </w:t>
      </w:r>
      <w:r w:rsidRPr="00FA4313">
        <w:rPr>
          <w:rFonts w:eastAsia="Times New Roman"/>
          <w:sz w:val="18"/>
          <w:szCs w:val="20"/>
          <w:lang w:val="en-GB" w:eastAsia="en-US"/>
        </w:rPr>
        <w:t xml:space="preserve">editor. </w:t>
      </w:r>
    </w:p>
    <w:p w14:paraId="0F47C264" w14:textId="77777777" w:rsidR="00FA4313" w:rsidRPr="00FA4313" w:rsidRDefault="00FA4313" w:rsidP="00FA4313">
      <w:pPr>
        <w:numPr>
          <w:ilvl w:val="0"/>
          <w:numId w:val="5"/>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 xml:space="preserve">providing </w:t>
      </w:r>
      <w:r w:rsidRPr="00FA4313">
        <w:rPr>
          <w:rFonts w:eastAsia="Times New Roman"/>
          <w:i/>
          <w:sz w:val="18"/>
          <w:szCs w:val="20"/>
          <w:lang w:val="en-GB" w:eastAsia="en-US"/>
        </w:rPr>
        <w:t>omitted</w:t>
      </w:r>
      <w:r w:rsidRPr="00FA4313">
        <w:rPr>
          <w:rFonts w:eastAsia="Times New Roman"/>
          <w:sz w:val="18"/>
          <w:szCs w:val="20"/>
          <w:lang w:val="en-GB" w:eastAsia="en-US"/>
        </w:rPr>
        <w:t xml:space="preserve"> information both in terms of the content of the manuscript and the references.</w:t>
      </w:r>
    </w:p>
    <w:p w14:paraId="4EF93724" w14:textId="77777777" w:rsidR="00FA4313" w:rsidRPr="00FA4313" w:rsidRDefault="00FA4313" w:rsidP="00FA4313">
      <w:pPr>
        <w:numPr>
          <w:ilvl w:val="0"/>
          <w:numId w:val="5"/>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making your changes in “Track Changes”; please remember to leave the existing comments (please do not delete comments)– this will assist our language editor with the preparation of your manuscript for layout.</w:t>
      </w:r>
    </w:p>
    <w:p w14:paraId="49C53E7D" w14:textId="77777777" w:rsidR="00FA4313" w:rsidRPr="00FA4313" w:rsidRDefault="00FA4313" w:rsidP="00FA4313">
      <w:pPr>
        <w:spacing w:after="0" w:line="240" w:lineRule="auto"/>
        <w:contextualSpacing/>
        <w:jc w:val="both"/>
        <w:rPr>
          <w:rFonts w:eastAsia="Times New Roman"/>
          <w:sz w:val="6"/>
          <w:szCs w:val="8"/>
          <w:lang w:val="en-GB" w:eastAsia="en-US"/>
        </w:rPr>
      </w:pPr>
    </w:p>
    <w:p w14:paraId="2EFB1628" w14:textId="77777777" w:rsidR="00FA4313" w:rsidRPr="00FA4313" w:rsidRDefault="00FA4313" w:rsidP="00FA4313">
      <w:p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Kindly note that incomplete manuscripts will be sent back to the author for rectification.</w:t>
      </w:r>
    </w:p>
    <w:p w14:paraId="718DC0B7" w14:textId="77777777" w:rsidR="00FA4313" w:rsidRPr="00FA4313" w:rsidRDefault="00FA4313" w:rsidP="00FA4313">
      <w:pPr>
        <w:spacing w:after="0" w:line="240" w:lineRule="auto"/>
        <w:jc w:val="both"/>
        <w:rPr>
          <w:rFonts w:eastAsia="Times New Roman"/>
          <w:b/>
          <w:sz w:val="18"/>
          <w:szCs w:val="20"/>
          <w:lang w:val="en-GB"/>
        </w:rPr>
      </w:pPr>
    </w:p>
    <w:p w14:paraId="6627118F" w14:textId="77777777" w:rsidR="00FA4313" w:rsidRPr="00FA4313" w:rsidRDefault="00FA4313" w:rsidP="00FA4313">
      <w:pPr>
        <w:spacing w:after="0" w:line="240" w:lineRule="auto"/>
        <w:jc w:val="both"/>
        <w:rPr>
          <w:rFonts w:eastAsia="Times New Roman"/>
          <w:b/>
          <w:szCs w:val="24"/>
          <w:lang w:val="en-GB"/>
        </w:rPr>
      </w:pPr>
      <w:r w:rsidRPr="00FA4313">
        <w:rPr>
          <w:rFonts w:eastAsia="Times New Roman"/>
          <w:b/>
          <w:szCs w:val="24"/>
          <w:lang w:val="en-GB"/>
        </w:rPr>
        <w:t>Understanding your language controlled manuscript:</w:t>
      </w:r>
    </w:p>
    <w:p w14:paraId="03D97624"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b/>
          <w:sz w:val="18"/>
          <w:szCs w:val="20"/>
          <w:lang w:val="en-GB"/>
        </w:rPr>
        <w:t>‘Headings’</w:t>
      </w:r>
      <w:r w:rsidRPr="00FA4313">
        <w:rPr>
          <w:rFonts w:eastAsia="Times New Roman"/>
          <w:sz w:val="18"/>
          <w:szCs w:val="20"/>
          <w:lang w:val="en-GB"/>
        </w:rPr>
        <w:t xml:space="preserve"> should be </w:t>
      </w:r>
      <w:r w:rsidRPr="00FA4313">
        <w:rPr>
          <w:rFonts w:eastAsia="Times New Roman"/>
          <w:sz w:val="18"/>
          <w:szCs w:val="20"/>
          <w:u w:val="single"/>
          <w:lang w:val="en-GB"/>
        </w:rPr>
        <w:t>numbered</w:t>
      </w:r>
      <w:r w:rsidRPr="00FA4313">
        <w:rPr>
          <w:rFonts w:eastAsia="Times New Roman"/>
          <w:sz w:val="18"/>
          <w:szCs w:val="20"/>
          <w:lang w:val="en-GB"/>
        </w:rPr>
        <w:t xml:space="preserve">. Kindly assist us in identifying your headings, by their hierarchical level as per the following example: </w:t>
      </w:r>
    </w:p>
    <w:p w14:paraId="4895F8BA" w14:textId="77777777" w:rsidR="00FA4313" w:rsidRPr="00FA4313" w:rsidRDefault="00FA4313" w:rsidP="00FA4313">
      <w:pPr>
        <w:spacing w:after="0" w:line="240" w:lineRule="auto"/>
        <w:ind w:left="360"/>
        <w:contextualSpacing/>
        <w:jc w:val="both"/>
        <w:rPr>
          <w:rFonts w:eastAsia="Times New Roman"/>
          <w:sz w:val="18"/>
          <w:szCs w:val="20"/>
          <w:lang w:val="en-GB" w:eastAsia="en-US"/>
        </w:rPr>
      </w:pPr>
      <w:r w:rsidRPr="00FA4313">
        <w:rPr>
          <w:rFonts w:eastAsia="Times New Roman"/>
          <w:sz w:val="18"/>
          <w:szCs w:val="20"/>
          <w:lang w:val="en-GB" w:eastAsia="en-US"/>
        </w:rPr>
        <w:t>1. First level headings</w:t>
      </w:r>
    </w:p>
    <w:p w14:paraId="3C73D382" w14:textId="77777777" w:rsidR="00FA4313" w:rsidRPr="00FA4313" w:rsidRDefault="00FA4313" w:rsidP="00FA4313">
      <w:pPr>
        <w:spacing w:after="0" w:line="240" w:lineRule="auto"/>
        <w:ind w:left="360"/>
        <w:contextualSpacing/>
        <w:jc w:val="both"/>
        <w:rPr>
          <w:rFonts w:eastAsia="Times New Roman"/>
          <w:sz w:val="18"/>
          <w:szCs w:val="20"/>
          <w:lang w:val="en-GB" w:eastAsia="en-US"/>
        </w:rPr>
      </w:pPr>
      <w:r w:rsidRPr="00FA4313">
        <w:rPr>
          <w:rFonts w:eastAsia="Times New Roman"/>
          <w:sz w:val="18"/>
          <w:szCs w:val="20"/>
          <w:lang w:val="en-GB" w:eastAsia="en-US"/>
        </w:rPr>
        <w:t>1.1. Second level headings</w:t>
      </w:r>
    </w:p>
    <w:p w14:paraId="4285F732" w14:textId="77777777" w:rsidR="00FA4313" w:rsidRPr="00FA4313" w:rsidRDefault="00FA4313" w:rsidP="00FA4313">
      <w:pPr>
        <w:spacing w:after="0" w:line="240" w:lineRule="auto"/>
        <w:ind w:left="360"/>
        <w:contextualSpacing/>
        <w:jc w:val="both"/>
        <w:rPr>
          <w:rFonts w:eastAsia="Times New Roman"/>
          <w:sz w:val="18"/>
          <w:szCs w:val="20"/>
          <w:lang w:val="en-GB" w:eastAsia="en-US"/>
        </w:rPr>
      </w:pPr>
      <w:r w:rsidRPr="00FA4313">
        <w:rPr>
          <w:rFonts w:eastAsia="Times New Roman"/>
          <w:sz w:val="18"/>
          <w:szCs w:val="20"/>
          <w:lang w:val="en-GB" w:eastAsia="en-US"/>
        </w:rPr>
        <w:t>1.1.1. Third level headings</w:t>
      </w:r>
    </w:p>
    <w:p w14:paraId="28691241" w14:textId="77777777" w:rsidR="00FA4313" w:rsidRPr="00FA4313" w:rsidRDefault="00FA4313" w:rsidP="00FA4313">
      <w:pPr>
        <w:spacing w:after="0" w:line="240" w:lineRule="auto"/>
        <w:ind w:left="360"/>
        <w:contextualSpacing/>
        <w:jc w:val="both"/>
        <w:rPr>
          <w:rFonts w:eastAsia="Times New Roman"/>
          <w:sz w:val="18"/>
          <w:szCs w:val="20"/>
          <w:lang w:val="en-GB" w:eastAsia="en-US"/>
        </w:rPr>
      </w:pPr>
      <w:r w:rsidRPr="00FA4313">
        <w:rPr>
          <w:rFonts w:eastAsia="Times New Roman"/>
          <w:sz w:val="18"/>
          <w:szCs w:val="20"/>
          <w:lang w:val="en-GB" w:eastAsia="en-US"/>
        </w:rPr>
        <w:t>1.1.1.1. Fourth level heading</w:t>
      </w:r>
    </w:p>
    <w:p w14:paraId="61EE2054" w14:textId="77777777" w:rsidR="00FA4313" w:rsidRPr="00FA4313" w:rsidRDefault="00FA4313" w:rsidP="00FA4313">
      <w:p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The numbered heading serves as guides for the galley creation phase only. No manuscript will be published with numbered headings, refrain from referring to numbered headings in the body of your manuscript.</w:t>
      </w:r>
    </w:p>
    <w:p w14:paraId="075B12C2" w14:textId="77777777" w:rsidR="00FA4313" w:rsidRPr="00FA4313" w:rsidRDefault="00FA4313" w:rsidP="00FA4313">
      <w:pPr>
        <w:spacing w:after="0" w:line="240" w:lineRule="auto"/>
        <w:jc w:val="both"/>
        <w:rPr>
          <w:rFonts w:eastAsia="Times New Roman"/>
          <w:sz w:val="6"/>
          <w:szCs w:val="8"/>
          <w:lang w:val="en-GB"/>
        </w:rPr>
      </w:pPr>
    </w:p>
    <w:p w14:paraId="4BEB4097"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w:t>
      </w:r>
      <w:r w:rsidRPr="00FA4313">
        <w:rPr>
          <w:rFonts w:eastAsia="Times New Roman"/>
          <w:b/>
          <w:sz w:val="18"/>
          <w:szCs w:val="20"/>
          <w:lang w:val="en-GB"/>
        </w:rPr>
        <w:t>Track Changes’</w:t>
      </w:r>
      <w:r w:rsidRPr="00FA4313">
        <w:rPr>
          <w:rFonts w:eastAsia="Times New Roman"/>
          <w:sz w:val="18"/>
          <w:szCs w:val="20"/>
          <w:lang w:val="en-GB"/>
        </w:rPr>
        <w:t xml:space="preserve"> is a way for Microsoft Word to keep track of the changes that our copy-editors make to a manuscript. </w:t>
      </w:r>
    </w:p>
    <w:p w14:paraId="1B19CFD4" w14:textId="77777777" w:rsidR="00FA4313" w:rsidRPr="00FA4313" w:rsidRDefault="00FA4313" w:rsidP="00FA4313">
      <w:pPr>
        <w:numPr>
          <w:ilvl w:val="0"/>
          <w:numId w:val="6"/>
        </w:numPr>
        <w:spacing w:after="0" w:line="240" w:lineRule="auto"/>
        <w:contextualSpacing/>
        <w:jc w:val="both"/>
        <w:rPr>
          <w:rFonts w:eastAsia="Times New Roman"/>
          <w:sz w:val="18"/>
          <w:szCs w:val="20"/>
          <w:lang w:val="en-GB"/>
        </w:rPr>
      </w:pPr>
      <w:r w:rsidRPr="00FA4313">
        <w:rPr>
          <w:rFonts w:eastAsia="Times New Roman"/>
          <w:sz w:val="18"/>
          <w:szCs w:val="20"/>
          <w:lang w:val="en-GB"/>
        </w:rPr>
        <w:t xml:space="preserve">Please do not choose to accept Track Changes. </w:t>
      </w:r>
    </w:p>
    <w:p w14:paraId="4846ABDE" w14:textId="77777777" w:rsidR="00FA4313" w:rsidRPr="00FA4313" w:rsidRDefault="00FA4313" w:rsidP="00FA4313">
      <w:pPr>
        <w:numPr>
          <w:ilvl w:val="0"/>
          <w:numId w:val="6"/>
        </w:numPr>
        <w:spacing w:after="0" w:line="240" w:lineRule="auto"/>
        <w:contextualSpacing/>
        <w:jc w:val="both"/>
        <w:rPr>
          <w:rFonts w:eastAsia="Times New Roman"/>
          <w:sz w:val="18"/>
          <w:szCs w:val="20"/>
          <w:lang w:val="en-GB"/>
        </w:rPr>
      </w:pPr>
      <w:r w:rsidRPr="00FA4313">
        <w:rPr>
          <w:rFonts w:eastAsia="Times New Roman"/>
          <w:sz w:val="18"/>
          <w:szCs w:val="20"/>
          <w:lang w:val="en-GB"/>
        </w:rPr>
        <w:t xml:space="preserve">Please do not reject suggested edits; rather make a separate comment stating your reason for rejection. </w:t>
      </w:r>
    </w:p>
    <w:p w14:paraId="5A3C31CC"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 xml:space="preserve">For more information on how ‘Track Changes’ works, please consult the Help function within your version of Microsoft Word. </w:t>
      </w:r>
    </w:p>
    <w:p w14:paraId="524F4A42" w14:textId="77777777" w:rsidR="00FA4313" w:rsidRPr="00FA4313" w:rsidRDefault="00FA4313" w:rsidP="00FA4313">
      <w:pPr>
        <w:spacing w:after="0" w:line="240" w:lineRule="auto"/>
        <w:jc w:val="both"/>
        <w:rPr>
          <w:rFonts w:eastAsia="Times New Roman"/>
          <w:sz w:val="6"/>
          <w:szCs w:val="8"/>
          <w:lang w:val="en-GB"/>
        </w:rPr>
      </w:pPr>
    </w:p>
    <w:p w14:paraId="46E09613"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w:t>
      </w:r>
      <w:r w:rsidRPr="00FA4313">
        <w:rPr>
          <w:rFonts w:eastAsia="Times New Roman"/>
          <w:b/>
          <w:sz w:val="18"/>
          <w:szCs w:val="20"/>
          <w:lang w:val="en-GB"/>
        </w:rPr>
        <w:t>Comments</w:t>
      </w:r>
      <w:r w:rsidRPr="00FA4313">
        <w:rPr>
          <w:rFonts w:eastAsia="Times New Roman"/>
          <w:sz w:val="18"/>
          <w:szCs w:val="20"/>
          <w:lang w:val="en-GB"/>
        </w:rPr>
        <w:t>’ is a way for the copy-editor to make a note at a specific point in the manuscript.</w:t>
      </w:r>
    </w:p>
    <w:p w14:paraId="30EA3769" w14:textId="77777777" w:rsidR="00FA4313" w:rsidRPr="00FA4313" w:rsidRDefault="00FA4313" w:rsidP="00FA4313">
      <w:pPr>
        <w:numPr>
          <w:ilvl w:val="0"/>
          <w:numId w:val="7"/>
        </w:numPr>
        <w:spacing w:after="0" w:line="240" w:lineRule="auto"/>
        <w:contextualSpacing/>
        <w:jc w:val="both"/>
        <w:rPr>
          <w:rFonts w:eastAsia="Times New Roman"/>
          <w:sz w:val="18"/>
          <w:szCs w:val="20"/>
          <w:lang w:val="en-GB"/>
        </w:rPr>
      </w:pPr>
      <w:r w:rsidRPr="00FA4313">
        <w:rPr>
          <w:rFonts w:eastAsia="Times New Roman"/>
          <w:sz w:val="18"/>
          <w:szCs w:val="20"/>
          <w:lang w:val="en-GB"/>
        </w:rPr>
        <w:t>Please do not delete the comment, either add your own comment in response or add your feedback within the posted comment.</w:t>
      </w:r>
    </w:p>
    <w:p w14:paraId="245C8F30"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 xml:space="preserve">For more information on how ‘Comments’ works, please consult the Help function within your version of Microsoft Word. </w:t>
      </w:r>
    </w:p>
    <w:p w14:paraId="0DEDE853" w14:textId="77777777" w:rsidR="00FA4313" w:rsidRPr="00FA4313" w:rsidRDefault="00FA4313" w:rsidP="00FA4313">
      <w:pPr>
        <w:spacing w:after="0" w:line="240" w:lineRule="auto"/>
        <w:jc w:val="both"/>
        <w:rPr>
          <w:rFonts w:eastAsia="Times New Roman"/>
          <w:b/>
          <w:sz w:val="18"/>
          <w:szCs w:val="20"/>
          <w:lang w:val="en-GB"/>
        </w:rPr>
      </w:pPr>
    </w:p>
    <w:p w14:paraId="7AF6815B" w14:textId="77777777" w:rsidR="00FA4313" w:rsidRPr="00FA4313" w:rsidRDefault="00FA4313" w:rsidP="00FA4313">
      <w:pPr>
        <w:spacing w:after="0" w:line="240" w:lineRule="auto"/>
        <w:jc w:val="both"/>
        <w:rPr>
          <w:rFonts w:eastAsia="Times New Roman"/>
          <w:b/>
          <w:szCs w:val="24"/>
          <w:lang w:val="en-GB"/>
        </w:rPr>
      </w:pPr>
      <w:r w:rsidRPr="00FA4313">
        <w:rPr>
          <w:rFonts w:eastAsia="Times New Roman"/>
          <w:b/>
          <w:szCs w:val="24"/>
          <w:lang w:val="en-GB"/>
        </w:rPr>
        <w:t>Completed your review of the copy-edited manuscript?</w:t>
      </w:r>
    </w:p>
    <w:p w14:paraId="5DCD6BA7" w14:textId="77777777" w:rsidR="00FA4313" w:rsidRPr="00FA4313" w:rsidRDefault="00FA4313" w:rsidP="00FA4313">
      <w:pPr>
        <w:spacing w:after="0" w:line="240" w:lineRule="auto"/>
        <w:jc w:val="both"/>
        <w:rPr>
          <w:rFonts w:eastAsia="Times New Roman"/>
          <w:sz w:val="18"/>
          <w:szCs w:val="20"/>
          <w:lang w:val="en-GB"/>
        </w:rPr>
      </w:pPr>
      <w:r w:rsidRPr="00FA4313">
        <w:rPr>
          <w:rFonts w:eastAsia="Times New Roman"/>
          <w:sz w:val="18"/>
          <w:szCs w:val="20"/>
          <w:lang w:val="en-GB"/>
        </w:rPr>
        <w:t>It is time to Upload your completed review of the manuscript on the online journal website. Please follow the steps:</w:t>
      </w:r>
    </w:p>
    <w:p w14:paraId="2CA7DF94" w14:textId="77777777" w:rsidR="00FA4313" w:rsidRPr="00FA4313" w:rsidRDefault="00FA4313" w:rsidP="00FA4313">
      <w:pPr>
        <w:numPr>
          <w:ilvl w:val="0"/>
          <w:numId w:val="4"/>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Log into the journal website with your unique username and password.</w:t>
      </w:r>
    </w:p>
    <w:p w14:paraId="3F38F88C" w14:textId="77777777" w:rsidR="00FA4313" w:rsidRPr="00FA4313" w:rsidRDefault="00FA4313" w:rsidP="00FA4313">
      <w:pPr>
        <w:numPr>
          <w:ilvl w:val="0"/>
          <w:numId w:val="4"/>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Click on ‘Author’ under your User Home.</w:t>
      </w:r>
    </w:p>
    <w:p w14:paraId="07A3ED27" w14:textId="77777777" w:rsidR="00FA4313" w:rsidRPr="00FA4313" w:rsidRDefault="00FA4313" w:rsidP="00FA4313">
      <w:pPr>
        <w:numPr>
          <w:ilvl w:val="0"/>
          <w:numId w:val="4"/>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Click on the status link next to your active submission in the ‘Active Submissions’ table.</w:t>
      </w:r>
    </w:p>
    <w:p w14:paraId="36CD9FED" w14:textId="77777777" w:rsidR="00FA4313" w:rsidRPr="00FA4313" w:rsidRDefault="00FA4313" w:rsidP="00FA4313">
      <w:pPr>
        <w:numPr>
          <w:ilvl w:val="0"/>
          <w:numId w:val="4"/>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 xml:space="preserve">At your manuscripts ‘Editing’ page, under ‘Copy-editing’ Step 2 please select browse and select your review of the copy-edited manuscript from where you saved in on your computer. Proceed to select Upload. </w:t>
      </w:r>
      <w:r w:rsidRPr="00FA4313">
        <w:rPr>
          <w:rFonts w:eastAsia="Times New Roman"/>
          <w:noProof/>
          <w:sz w:val="18"/>
          <w:szCs w:val="20"/>
          <w:lang w:val="en-GB"/>
        </w:rPr>
        <mc:AlternateContent>
          <mc:Choice Requires="wps">
            <w:drawing>
              <wp:anchor distT="0" distB="0" distL="114300" distR="114300" simplePos="0" relativeHeight="251659264" behindDoc="0" locked="0" layoutInCell="1" allowOverlap="1" wp14:anchorId="2A82311F" wp14:editId="5FA33C37">
                <wp:simplePos x="0" y="0"/>
                <wp:positionH relativeFrom="column">
                  <wp:posOffset>6061075</wp:posOffset>
                </wp:positionH>
                <wp:positionV relativeFrom="paragraph">
                  <wp:posOffset>6184900</wp:posOffset>
                </wp:positionV>
                <wp:extent cx="457200" cy="3429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70666" id="Oval 2" o:spid="_x0000_s1026" style="position:absolute;margin-left:477.25pt;margin-top:48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" filled="f" strokecolor="red"/>
            </w:pict>
          </mc:Fallback>
        </mc:AlternateContent>
      </w:r>
      <w:r w:rsidRPr="00FA4313">
        <w:rPr>
          <w:rFonts w:eastAsia="Times New Roman"/>
          <w:sz w:val="18"/>
          <w:szCs w:val="20"/>
          <w:lang w:val="en-GB" w:eastAsia="en-US"/>
        </w:rPr>
        <w:t>A file will be under Copyediting point 2 called ‘Author Copyedit’; this means you have successfully uploaded a file. Ensure that this is the correct file by downloading it and checking that it is in order.</w:t>
      </w:r>
    </w:p>
    <w:p w14:paraId="097D07C4" w14:textId="77777777" w:rsidR="00FA4313" w:rsidRPr="00FA4313" w:rsidRDefault="00FA4313" w:rsidP="00FA4313">
      <w:pPr>
        <w:numPr>
          <w:ilvl w:val="0"/>
          <w:numId w:val="4"/>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To complete the process, you will need to inform the copy-editor that you have completed the review of the document. Please click on the envelope icon under complete (circled) and send an email to the copy-editor.</w:t>
      </w:r>
    </w:p>
    <w:p w14:paraId="1C9F9451" w14:textId="77777777" w:rsidR="00FA4313" w:rsidRPr="00FA4313" w:rsidRDefault="00FA4313" w:rsidP="00FA4313">
      <w:pPr>
        <w:numPr>
          <w:ilvl w:val="0"/>
          <w:numId w:val="4"/>
        </w:numPr>
        <w:spacing w:after="0" w:line="240" w:lineRule="auto"/>
        <w:contextualSpacing/>
        <w:jc w:val="both"/>
        <w:rPr>
          <w:rFonts w:eastAsia="Times New Roman"/>
          <w:sz w:val="18"/>
          <w:szCs w:val="20"/>
          <w:lang w:val="en-GB" w:eastAsia="en-US"/>
        </w:rPr>
      </w:pPr>
      <w:r w:rsidRPr="00FA4313">
        <w:rPr>
          <w:rFonts w:eastAsia="Times New Roman"/>
          <w:sz w:val="18"/>
          <w:szCs w:val="20"/>
          <w:lang w:val="en-GB" w:eastAsia="en-US"/>
        </w:rPr>
        <w:t>Congratulations! you have successfully reviewed your language edited document.</w:t>
      </w:r>
    </w:p>
    <w:p w14:paraId="31099E0D" w14:textId="77777777" w:rsidR="00FA4313" w:rsidRPr="00FA4313" w:rsidRDefault="00FA4313" w:rsidP="00FA4313">
      <w:pPr>
        <w:spacing w:after="0" w:line="240" w:lineRule="auto"/>
        <w:ind w:left="720"/>
        <w:contextualSpacing/>
        <w:jc w:val="both"/>
        <w:rPr>
          <w:rFonts w:eastAsia="Times New Roman"/>
          <w:sz w:val="18"/>
          <w:szCs w:val="20"/>
          <w:lang w:val="en-GB" w:eastAsia="en-US"/>
        </w:rPr>
      </w:pPr>
    </w:p>
    <w:tbl>
      <w:tblPr>
        <w:tblStyle w:val="TableGrid1"/>
        <w:tblW w:w="5262" w:type="dxa"/>
        <w:tblInd w:w="3823" w:type="dxa"/>
        <w:tblLook w:val="04A0" w:firstRow="1" w:lastRow="0" w:firstColumn="1" w:lastColumn="0" w:noHBand="0" w:noVBand="1"/>
      </w:tblPr>
      <w:tblGrid>
        <w:gridCol w:w="1417"/>
        <w:gridCol w:w="3845"/>
      </w:tblGrid>
      <w:tr w:rsidR="00FA4313" w:rsidRPr="00FA4313" w14:paraId="1AA216A8" w14:textId="77777777" w:rsidTr="00FA4313">
        <w:trPr>
          <w:trHeight w:val="252"/>
        </w:trPr>
        <w:tc>
          <w:tcPr>
            <w:tcW w:w="5262" w:type="dxa"/>
            <w:gridSpan w:val="2"/>
            <w:tcBorders>
              <w:right w:val="single" w:sz="4" w:space="0" w:color="auto"/>
            </w:tcBorders>
            <w:shd w:val="clear" w:color="auto" w:fill="000000"/>
          </w:tcPr>
          <w:p w14:paraId="59011C28" w14:textId="77777777" w:rsidR="00FA4313" w:rsidRPr="00FA4313" w:rsidRDefault="00FA4313" w:rsidP="00FA4313">
            <w:pPr>
              <w:rPr>
                <w:sz w:val="16"/>
                <w:szCs w:val="18"/>
              </w:rPr>
            </w:pPr>
            <w:r w:rsidRPr="00FA4313">
              <w:rPr>
                <w:sz w:val="16"/>
                <w:szCs w:val="18"/>
              </w:rPr>
              <w:t>FOR OFFICE USE – CORRESPONDING AUTHOR INFORMATION</w:t>
            </w:r>
          </w:p>
        </w:tc>
      </w:tr>
      <w:tr w:rsidR="00FA4313" w:rsidRPr="00FA4313" w14:paraId="21CAFAEF" w14:textId="77777777" w:rsidTr="00FA4313">
        <w:trPr>
          <w:trHeight w:val="252"/>
        </w:trPr>
        <w:tc>
          <w:tcPr>
            <w:tcW w:w="1417" w:type="dxa"/>
            <w:shd w:val="clear" w:color="auto" w:fill="F2F2F2"/>
          </w:tcPr>
          <w:p w14:paraId="574BE2A0" w14:textId="77777777" w:rsidR="00FA4313" w:rsidRPr="00FA4313" w:rsidRDefault="00FA4313" w:rsidP="00FA4313">
            <w:pPr>
              <w:rPr>
                <w:sz w:val="16"/>
                <w:szCs w:val="18"/>
              </w:rPr>
            </w:pPr>
            <w:r w:rsidRPr="00FA4313">
              <w:rPr>
                <w:sz w:val="16"/>
                <w:szCs w:val="18"/>
              </w:rPr>
              <w:t>Name</w:t>
            </w:r>
          </w:p>
        </w:tc>
        <w:tc>
          <w:tcPr>
            <w:tcW w:w="3845" w:type="dxa"/>
            <w:tcBorders>
              <w:right w:val="single" w:sz="4" w:space="0" w:color="auto"/>
            </w:tcBorders>
            <w:shd w:val="clear" w:color="auto" w:fill="F2F2F2"/>
          </w:tcPr>
          <w:p w14:paraId="15420BCA" w14:textId="6BA8E286" w:rsidR="00FA4313" w:rsidRPr="00FA4313" w:rsidRDefault="00FA4313" w:rsidP="00FA4313">
            <w:pPr>
              <w:rPr>
                <w:sz w:val="16"/>
                <w:szCs w:val="18"/>
              </w:rPr>
            </w:pPr>
            <w:r w:rsidRPr="00FA4313">
              <w:rPr>
                <w:sz w:val="16"/>
                <w:szCs w:val="18"/>
              </w:rPr>
              <w:t>Sonja Grater</w:t>
            </w:r>
          </w:p>
        </w:tc>
      </w:tr>
      <w:tr w:rsidR="00FA4313" w:rsidRPr="00FA4313" w14:paraId="3254CB37" w14:textId="77777777" w:rsidTr="00FA4313">
        <w:trPr>
          <w:trHeight w:val="252"/>
        </w:trPr>
        <w:tc>
          <w:tcPr>
            <w:tcW w:w="1417" w:type="dxa"/>
            <w:shd w:val="clear" w:color="auto" w:fill="F2F2F2"/>
          </w:tcPr>
          <w:p w14:paraId="03095F4C" w14:textId="77777777" w:rsidR="00FA4313" w:rsidRPr="00FA4313" w:rsidRDefault="00FA4313" w:rsidP="00FA4313">
            <w:pPr>
              <w:rPr>
                <w:sz w:val="16"/>
                <w:szCs w:val="18"/>
              </w:rPr>
            </w:pPr>
            <w:r w:rsidRPr="00FA4313">
              <w:rPr>
                <w:sz w:val="16"/>
                <w:szCs w:val="18"/>
              </w:rPr>
              <w:t>Email</w:t>
            </w:r>
          </w:p>
        </w:tc>
        <w:tc>
          <w:tcPr>
            <w:tcW w:w="3845" w:type="dxa"/>
            <w:tcBorders>
              <w:right w:val="single" w:sz="4" w:space="0" w:color="auto"/>
            </w:tcBorders>
            <w:shd w:val="clear" w:color="auto" w:fill="F2F2F2"/>
          </w:tcPr>
          <w:p w14:paraId="19998A21" w14:textId="09EC637A" w:rsidR="00FA4313" w:rsidRPr="00FA4313" w:rsidRDefault="00FA4313" w:rsidP="00FA4313">
            <w:pPr>
              <w:rPr>
                <w:sz w:val="16"/>
                <w:szCs w:val="18"/>
              </w:rPr>
            </w:pPr>
            <w:r w:rsidRPr="00FA4313">
              <w:rPr>
                <w:sz w:val="16"/>
                <w:szCs w:val="18"/>
              </w:rPr>
              <w:t>sonja.grater@nwu.ac.za</w:t>
            </w:r>
          </w:p>
        </w:tc>
      </w:tr>
    </w:tbl>
    <w:p w14:paraId="7A04C270" w14:textId="77777777" w:rsidR="00FA4313" w:rsidRPr="00FA4313" w:rsidRDefault="00FA4313" w:rsidP="00FA4313">
      <w:pPr>
        <w:spacing w:after="0" w:line="240" w:lineRule="auto"/>
        <w:jc w:val="both"/>
        <w:rPr>
          <w:rFonts w:eastAsia="Times New Roman"/>
          <w:b/>
          <w:szCs w:val="24"/>
          <w:lang w:val="en-GB"/>
        </w:rPr>
      </w:pPr>
    </w:p>
    <w:p w14:paraId="6BA569D2" w14:textId="77777777" w:rsidR="00FA4313" w:rsidRDefault="00FA4313">
      <w:pPr>
        <w:rPr>
          <w:rFonts w:eastAsia="Times New Roman"/>
          <w:b/>
          <w:szCs w:val="24"/>
          <w:lang w:val="en-GB"/>
        </w:rPr>
      </w:pPr>
      <w:r>
        <w:rPr>
          <w:rFonts w:eastAsia="Times New Roman"/>
          <w:b/>
          <w:szCs w:val="24"/>
          <w:lang w:val="en-GB"/>
        </w:rPr>
        <w:br w:type="page"/>
      </w:r>
    </w:p>
    <w:p w14:paraId="23A42B24" w14:textId="43D97E52" w:rsidR="00FA4313" w:rsidRPr="00FA4313" w:rsidRDefault="00FA4313" w:rsidP="00FA4313">
      <w:pPr>
        <w:spacing w:after="0" w:line="240" w:lineRule="auto"/>
        <w:jc w:val="right"/>
        <w:rPr>
          <w:rFonts w:eastAsia="Times New Roman"/>
          <w:b/>
          <w:szCs w:val="24"/>
          <w:lang w:val="en-GB"/>
        </w:rPr>
      </w:pPr>
    </w:p>
    <w:tbl>
      <w:tblPr>
        <w:tblStyle w:val="TableGrid1"/>
        <w:tblW w:w="0" w:type="auto"/>
        <w:tblInd w:w="-5" w:type="dxa"/>
        <w:tblLook w:val="04A0" w:firstRow="1" w:lastRow="0" w:firstColumn="1" w:lastColumn="0" w:noHBand="0" w:noVBand="1"/>
      </w:tblPr>
      <w:tblGrid>
        <w:gridCol w:w="709"/>
        <w:gridCol w:w="2352"/>
        <w:gridCol w:w="1662"/>
        <w:gridCol w:w="1432"/>
        <w:gridCol w:w="1675"/>
        <w:gridCol w:w="446"/>
        <w:gridCol w:w="1870"/>
      </w:tblGrid>
      <w:tr w:rsidR="00FA4313" w:rsidRPr="00FA4313" w14:paraId="38CF25F1" w14:textId="77777777" w:rsidTr="00975EDC">
        <w:trPr>
          <w:trHeight w:val="584"/>
        </w:trPr>
        <w:tc>
          <w:tcPr>
            <w:tcW w:w="3061" w:type="dxa"/>
            <w:gridSpan w:val="2"/>
          </w:tcPr>
          <w:p w14:paraId="6C17BFA5" w14:textId="77777777" w:rsidR="00FA4313" w:rsidRPr="00FA4313" w:rsidRDefault="00FA4313" w:rsidP="00FA4313">
            <w:pPr>
              <w:spacing w:before="240" w:after="240"/>
            </w:pPr>
            <w:r w:rsidRPr="00FA4313">
              <w:rPr>
                <w:rFonts w:eastAsia="Times New Roman"/>
                <w:sz w:val="24"/>
                <w:szCs w:val="24"/>
                <w:lang w:val="en-GB"/>
              </w:rPr>
              <w:br w:type="page"/>
            </w:r>
            <w:r w:rsidRPr="00FA4313">
              <w:br w:type="page"/>
            </w:r>
            <w:r w:rsidRPr="00FA4313">
              <w:rPr>
                <w:noProof/>
              </w:rPr>
              <w:drawing>
                <wp:inline distT="0" distB="0" distL="0" distR="0" wp14:anchorId="1449FC2D" wp14:editId="755BF6ED">
                  <wp:extent cx="1751566" cy="380010"/>
                  <wp:effectExtent l="0" t="0" r="1270" b="1270"/>
                  <wp:docPr id="7" name="Picture 7" descr="http://aosis.co.za/addons/shared_addons/themes/aosi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osis.co.za/addons/shared_addons/themes/aosi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342" cy="384734"/>
                          </a:xfrm>
                          <a:prstGeom prst="rect">
                            <a:avLst/>
                          </a:prstGeom>
                          <a:noFill/>
                          <a:ln>
                            <a:noFill/>
                          </a:ln>
                        </pic:spPr>
                      </pic:pic>
                    </a:graphicData>
                  </a:graphic>
                </wp:inline>
              </w:drawing>
            </w:r>
          </w:p>
        </w:tc>
        <w:tc>
          <w:tcPr>
            <w:tcW w:w="4769" w:type="dxa"/>
            <w:gridSpan w:val="3"/>
          </w:tcPr>
          <w:p w14:paraId="6620064A" w14:textId="77777777" w:rsidR="00FA4313" w:rsidRPr="00FA4313" w:rsidRDefault="00FA4313" w:rsidP="00FA4313">
            <w:pPr>
              <w:rPr>
                <w:sz w:val="6"/>
                <w:szCs w:val="6"/>
              </w:rPr>
            </w:pPr>
          </w:p>
          <w:p w14:paraId="759E2DB4" w14:textId="77777777" w:rsidR="00FA4313" w:rsidRPr="00FA4313" w:rsidRDefault="00FA4313" w:rsidP="00FA4313">
            <w:pPr>
              <w:rPr>
                <w:sz w:val="24"/>
                <w:szCs w:val="24"/>
              </w:rPr>
            </w:pPr>
            <w:r w:rsidRPr="00FA4313">
              <w:rPr>
                <w:sz w:val="24"/>
                <w:szCs w:val="24"/>
              </w:rPr>
              <w:t xml:space="preserve">ACCEPTED MANUSCRIPT </w:t>
            </w:r>
          </w:p>
          <w:p w14:paraId="504C5703" w14:textId="77777777" w:rsidR="00FA4313" w:rsidRPr="00FA4313" w:rsidRDefault="00FA4313" w:rsidP="00FA4313">
            <w:pPr>
              <w:rPr>
                <w:sz w:val="24"/>
                <w:szCs w:val="24"/>
              </w:rPr>
            </w:pPr>
            <w:r w:rsidRPr="00FA4313">
              <w:rPr>
                <w:sz w:val="24"/>
                <w:szCs w:val="24"/>
              </w:rPr>
              <w:t>MANUSCRIPT INFORMATION PAGE</w:t>
            </w:r>
          </w:p>
          <w:p w14:paraId="1BB2FB6A" w14:textId="77777777" w:rsidR="00FA4313" w:rsidRPr="00FA4313" w:rsidRDefault="00FA4313" w:rsidP="00FA4313">
            <w:pPr>
              <w:rPr>
                <w:sz w:val="24"/>
                <w:szCs w:val="24"/>
              </w:rPr>
            </w:pPr>
            <w:r w:rsidRPr="00FA4313">
              <w:rPr>
                <w:sz w:val="24"/>
                <w:szCs w:val="24"/>
              </w:rPr>
              <w:t>(AUTHOR TO VERIFY)</w:t>
            </w:r>
          </w:p>
        </w:tc>
        <w:tc>
          <w:tcPr>
            <w:tcW w:w="2316" w:type="dxa"/>
            <w:gridSpan w:val="2"/>
          </w:tcPr>
          <w:p w14:paraId="3C63C582" w14:textId="77777777" w:rsidR="00FA4313" w:rsidRPr="00FA4313" w:rsidRDefault="00FA4313" w:rsidP="00FA4313">
            <w:pPr>
              <w:rPr>
                <w:sz w:val="6"/>
                <w:szCs w:val="6"/>
              </w:rPr>
            </w:pPr>
          </w:p>
          <w:p w14:paraId="5A9CE850" w14:textId="43EEA5BE" w:rsidR="00FA4313" w:rsidRPr="00FA4313" w:rsidRDefault="00FA4313" w:rsidP="00FA4313">
            <w:pPr>
              <w:rPr>
                <w:sz w:val="24"/>
                <w:szCs w:val="24"/>
              </w:rPr>
            </w:pPr>
            <w:r w:rsidRPr="00FA4313">
              <w:rPr>
                <w:sz w:val="24"/>
                <w:szCs w:val="24"/>
              </w:rPr>
              <w:t xml:space="preserve">YOUR REFERENCE NUMBER: </w:t>
            </w:r>
            <w:r>
              <w:rPr>
                <w:sz w:val="24"/>
                <w:szCs w:val="24"/>
              </w:rPr>
              <w:t>772</w:t>
            </w:r>
          </w:p>
          <w:p w14:paraId="508927F8" w14:textId="77777777" w:rsidR="00FA4313" w:rsidRPr="00FA4313" w:rsidRDefault="00FA4313" w:rsidP="00FA4313">
            <w:pPr>
              <w:rPr>
                <w:sz w:val="16"/>
                <w:szCs w:val="16"/>
              </w:rPr>
            </w:pPr>
          </w:p>
        </w:tc>
      </w:tr>
      <w:tr w:rsidR="00FA4313" w:rsidRPr="00FA4313" w14:paraId="647636A5" w14:textId="77777777" w:rsidTr="00975EDC">
        <w:trPr>
          <w:trHeight w:val="444"/>
        </w:trPr>
        <w:tc>
          <w:tcPr>
            <w:tcW w:w="10146" w:type="dxa"/>
            <w:gridSpan w:val="7"/>
            <w:shd w:val="clear" w:color="auto" w:fill="8A1E04"/>
          </w:tcPr>
          <w:p w14:paraId="7DEF6803" w14:textId="77777777" w:rsidR="00FA4313" w:rsidRPr="00FA4313" w:rsidRDefault="00FA4313" w:rsidP="00FA4313">
            <w:pPr>
              <w:rPr>
                <w:color w:val="FFFFFF"/>
                <w:sz w:val="18"/>
                <w:szCs w:val="18"/>
              </w:rPr>
            </w:pPr>
            <w:r w:rsidRPr="00FA4313">
              <w:rPr>
                <w:color w:val="FFFFFF"/>
                <w:sz w:val="18"/>
                <w:szCs w:val="18"/>
              </w:rPr>
              <w:t>This manuscript information page, includes manuscript and author identification information which was removed during the peer review process. Kindly review all information and ensure that it reflects the original submitted manuscript. Any form field shaded light ‘blue’ requires the corresponding authors’ confirmation and/or completion.</w:t>
            </w:r>
          </w:p>
        </w:tc>
      </w:tr>
      <w:tr w:rsidR="00FA4313" w:rsidRPr="00FA4313" w14:paraId="7F59B468" w14:textId="77777777" w:rsidTr="00975EDC">
        <w:trPr>
          <w:trHeight w:val="173"/>
        </w:trPr>
        <w:tc>
          <w:tcPr>
            <w:tcW w:w="10146" w:type="dxa"/>
            <w:gridSpan w:val="7"/>
            <w:shd w:val="clear" w:color="auto" w:fill="71D300"/>
          </w:tcPr>
          <w:p w14:paraId="261B4603" w14:textId="77777777" w:rsidR="00FA4313" w:rsidRPr="00FA4313" w:rsidRDefault="00FA4313" w:rsidP="00FA4313">
            <w:pPr>
              <w:rPr>
                <w:sz w:val="24"/>
                <w:szCs w:val="24"/>
              </w:rPr>
            </w:pPr>
            <w:r w:rsidRPr="00FA4313">
              <w:rPr>
                <w:sz w:val="16"/>
                <w:szCs w:val="16"/>
              </w:rPr>
              <w:t xml:space="preserve">MANUSCRIPT INFORMATION PAGE </w:t>
            </w:r>
          </w:p>
        </w:tc>
      </w:tr>
      <w:tr w:rsidR="00FA4313" w:rsidRPr="00FA4313" w14:paraId="0835707B" w14:textId="77777777" w:rsidTr="00975EDC">
        <w:tc>
          <w:tcPr>
            <w:tcW w:w="3061" w:type="dxa"/>
            <w:gridSpan w:val="2"/>
            <w:tcBorders>
              <w:bottom w:val="single" w:sz="4" w:space="0" w:color="FFFFFF"/>
            </w:tcBorders>
            <w:shd w:val="clear" w:color="auto" w:fill="032351"/>
          </w:tcPr>
          <w:p w14:paraId="2F6AF963" w14:textId="77777777" w:rsidR="00FA4313" w:rsidRPr="00FA4313" w:rsidRDefault="00FA4313" w:rsidP="00FA4313">
            <w:pPr>
              <w:rPr>
                <w:color w:val="FFFFFF"/>
                <w:sz w:val="18"/>
                <w:szCs w:val="18"/>
              </w:rPr>
            </w:pPr>
            <w:r w:rsidRPr="00FA4313">
              <w:rPr>
                <w:color w:val="FFFFFF"/>
                <w:sz w:val="18"/>
                <w:szCs w:val="18"/>
              </w:rPr>
              <w:t>Manuscript title</w:t>
            </w:r>
          </w:p>
        </w:tc>
        <w:tc>
          <w:tcPr>
            <w:tcW w:w="7085" w:type="dxa"/>
            <w:gridSpan w:val="5"/>
            <w:shd w:val="clear" w:color="auto" w:fill="EBF1F9"/>
          </w:tcPr>
          <w:p w14:paraId="35EE0B54" w14:textId="44F43C82" w:rsidR="00FA4313" w:rsidRPr="00FA4313" w:rsidRDefault="00FA4313" w:rsidP="00FA4313">
            <w:pPr>
              <w:rPr>
                <w:sz w:val="20"/>
                <w:szCs w:val="20"/>
              </w:rPr>
            </w:pPr>
            <w:r w:rsidRPr="00FA4313">
              <w:rPr>
                <w:sz w:val="20"/>
                <w:szCs w:val="20"/>
              </w:rPr>
              <w:t>Analysing the impact of COVID-19 trade disruptions on port authority pricing and container shipping in South Africa</w:t>
            </w:r>
          </w:p>
        </w:tc>
      </w:tr>
      <w:tr w:rsidR="00FA4313" w:rsidRPr="00FA4313" w14:paraId="7BB1336A" w14:textId="77777777" w:rsidTr="00975EDC">
        <w:tc>
          <w:tcPr>
            <w:tcW w:w="3061" w:type="dxa"/>
            <w:gridSpan w:val="2"/>
            <w:tcBorders>
              <w:top w:val="single" w:sz="4" w:space="0" w:color="FFFFFF"/>
              <w:bottom w:val="single" w:sz="4" w:space="0" w:color="FFFFFF"/>
            </w:tcBorders>
            <w:shd w:val="clear" w:color="auto" w:fill="032351"/>
          </w:tcPr>
          <w:p w14:paraId="0528E5CB" w14:textId="77777777" w:rsidR="00FA4313" w:rsidRPr="00FA4313" w:rsidRDefault="00FA4313" w:rsidP="00FA4313">
            <w:pPr>
              <w:rPr>
                <w:color w:val="FFFFFF"/>
                <w:sz w:val="18"/>
                <w:szCs w:val="18"/>
              </w:rPr>
            </w:pPr>
            <w:r w:rsidRPr="00FA4313">
              <w:rPr>
                <w:color w:val="FFFFFF"/>
                <w:sz w:val="18"/>
                <w:szCs w:val="18"/>
              </w:rPr>
              <w:t xml:space="preserve">Manuscript abstract </w:t>
            </w:r>
          </w:p>
        </w:tc>
        <w:tc>
          <w:tcPr>
            <w:tcW w:w="7085" w:type="dxa"/>
            <w:gridSpan w:val="5"/>
            <w:shd w:val="clear" w:color="auto" w:fill="EBF1F9"/>
          </w:tcPr>
          <w:p w14:paraId="1D8D979E" w14:textId="77777777" w:rsidR="00FA4313" w:rsidRPr="00FA4313" w:rsidRDefault="00FA4313" w:rsidP="00FA4313">
            <w:pPr>
              <w:rPr>
                <w:sz w:val="20"/>
                <w:szCs w:val="20"/>
              </w:rPr>
            </w:pPr>
            <w:r w:rsidRPr="00FA4313">
              <w:rPr>
                <w:sz w:val="20"/>
                <w:szCs w:val="20"/>
              </w:rPr>
              <w:t>Background: The COVID pandemic directly affected the shipping industry globally, and South Africa felt the impact through lower cargo volumes and higher freight rates. In addition, National Ports Authority (NPA) charges are 69% and cargo dues 166% above the global benchmark mean. The NPA use a rate of return (RR) model to calculate tariff increases that are contested by port stakeholders.</w:t>
            </w:r>
          </w:p>
          <w:p w14:paraId="5BFE5520" w14:textId="77777777" w:rsidR="00FA4313" w:rsidRPr="00FA4313" w:rsidRDefault="00FA4313" w:rsidP="00FA4313">
            <w:pPr>
              <w:rPr>
                <w:sz w:val="20"/>
                <w:szCs w:val="20"/>
              </w:rPr>
            </w:pPr>
            <w:r w:rsidRPr="00FA4313">
              <w:rPr>
                <w:sz w:val="20"/>
                <w:szCs w:val="20"/>
              </w:rPr>
              <w:t>Objectives: This study analyses the impact of COVID-19 trade disruptions, and examines the associated higher liner freight rates, tariff applications for higher NPA tariffs, and reduced CAPEX investment in port infrastructure. It aims to show that adjustments to the RR model variables can result in large savings in costs for port users.</w:t>
            </w:r>
          </w:p>
          <w:p w14:paraId="47148677" w14:textId="77777777" w:rsidR="00FA4313" w:rsidRPr="00FA4313" w:rsidRDefault="00FA4313" w:rsidP="00FA4313">
            <w:pPr>
              <w:rPr>
                <w:sz w:val="20"/>
                <w:szCs w:val="20"/>
              </w:rPr>
            </w:pPr>
            <w:r w:rsidRPr="00FA4313">
              <w:rPr>
                <w:sz w:val="20"/>
                <w:szCs w:val="20"/>
              </w:rPr>
              <w:t xml:space="preserve">Method: The study analyses the impact of the pandemic on cargo volumes and freight rates in South Africa. It critiques the Regulatory Asset Base (RAB), the asset beta, the tax rate to be applied and calculates the adjustments to these RR model variables and shows the results under five scenarios. </w:t>
            </w:r>
          </w:p>
          <w:p w14:paraId="797754E6" w14:textId="77777777" w:rsidR="00FA4313" w:rsidRPr="00FA4313" w:rsidRDefault="00FA4313" w:rsidP="00FA4313">
            <w:pPr>
              <w:rPr>
                <w:sz w:val="20"/>
                <w:szCs w:val="20"/>
              </w:rPr>
            </w:pPr>
            <w:r w:rsidRPr="00FA4313">
              <w:rPr>
                <w:sz w:val="20"/>
                <w:szCs w:val="20"/>
              </w:rPr>
              <w:t xml:space="preserve">Results: Results show a sharp decrease in cargo volumes during COVID lockdowns, and a parallel increase in freight rates. The RR model results show how the NPA tariff adjustments could have been much lower.  Even a tariff decrease of 5.76% in scenario four, and a 20.32% decrease in scenario five. </w:t>
            </w:r>
          </w:p>
          <w:p w14:paraId="0D045EB0" w14:textId="7200FB4E" w:rsidR="00FA4313" w:rsidRPr="00FA4313" w:rsidRDefault="00FA4313" w:rsidP="00FA4313">
            <w:pPr>
              <w:rPr>
                <w:sz w:val="20"/>
                <w:szCs w:val="20"/>
              </w:rPr>
            </w:pPr>
            <w:r w:rsidRPr="00FA4313">
              <w:rPr>
                <w:sz w:val="20"/>
                <w:szCs w:val="20"/>
              </w:rPr>
              <w:t>Conclusion: Amid the global rise of shipping rates and the economic impact of the pandemic on South Africa’s trade, results show that there is a potential to enhance SA’s trade competitiveness through a decrease in NPA weighted average tariff by 20%.</w:t>
            </w:r>
          </w:p>
        </w:tc>
      </w:tr>
      <w:tr w:rsidR="00FA4313" w:rsidRPr="00FA4313" w14:paraId="7808DA30" w14:textId="77777777" w:rsidTr="00975EDC">
        <w:tc>
          <w:tcPr>
            <w:tcW w:w="3061" w:type="dxa"/>
            <w:gridSpan w:val="2"/>
            <w:tcBorders>
              <w:top w:val="single" w:sz="4" w:space="0" w:color="FFFFFF"/>
              <w:bottom w:val="single" w:sz="4" w:space="0" w:color="FFFFFF"/>
            </w:tcBorders>
            <w:shd w:val="clear" w:color="auto" w:fill="032351"/>
          </w:tcPr>
          <w:p w14:paraId="580E7386" w14:textId="77777777" w:rsidR="00FA4313" w:rsidRPr="00FA4313" w:rsidRDefault="00FA4313" w:rsidP="00FA4313">
            <w:pPr>
              <w:rPr>
                <w:color w:val="FFFFFF"/>
                <w:sz w:val="18"/>
                <w:szCs w:val="18"/>
              </w:rPr>
            </w:pPr>
            <w:r w:rsidRPr="00FA4313">
              <w:rPr>
                <w:color w:val="FFFFFF"/>
                <w:sz w:val="18"/>
                <w:szCs w:val="18"/>
              </w:rPr>
              <w:t>Manuscript keywords</w:t>
            </w:r>
          </w:p>
        </w:tc>
        <w:tc>
          <w:tcPr>
            <w:tcW w:w="7085" w:type="dxa"/>
            <w:gridSpan w:val="5"/>
            <w:shd w:val="clear" w:color="auto" w:fill="EBF1F9"/>
          </w:tcPr>
          <w:p w14:paraId="3D72CBFF" w14:textId="0A9AD294" w:rsidR="00FA4313" w:rsidRPr="00FA4313" w:rsidRDefault="00FA4313" w:rsidP="00FA4313">
            <w:pPr>
              <w:rPr>
                <w:sz w:val="20"/>
                <w:szCs w:val="20"/>
              </w:rPr>
            </w:pPr>
            <w:r w:rsidRPr="00FA4313">
              <w:rPr>
                <w:sz w:val="20"/>
                <w:szCs w:val="20"/>
              </w:rPr>
              <w:t>COVID-19; Port Pricing; Port Authority; Ports Regulator of South Africa; Shipping; South Africa</w:t>
            </w:r>
          </w:p>
        </w:tc>
      </w:tr>
      <w:tr w:rsidR="00FA4313" w:rsidRPr="00FA4313" w14:paraId="21A245DA" w14:textId="77777777" w:rsidTr="00975EDC">
        <w:tc>
          <w:tcPr>
            <w:tcW w:w="3061" w:type="dxa"/>
            <w:gridSpan w:val="2"/>
            <w:tcBorders>
              <w:top w:val="single" w:sz="4" w:space="0" w:color="FFFFFF"/>
              <w:bottom w:val="single" w:sz="4" w:space="0" w:color="FFFFFF"/>
            </w:tcBorders>
            <w:shd w:val="clear" w:color="auto" w:fill="032351"/>
          </w:tcPr>
          <w:p w14:paraId="06A75A81" w14:textId="77777777" w:rsidR="00FA4313" w:rsidRPr="00FA4313" w:rsidRDefault="00FA4313" w:rsidP="00FA4313">
            <w:pPr>
              <w:rPr>
                <w:color w:val="FFFFFF"/>
                <w:sz w:val="18"/>
                <w:szCs w:val="18"/>
              </w:rPr>
            </w:pPr>
            <w:r w:rsidRPr="00FA4313">
              <w:rPr>
                <w:color w:val="FFFFFF"/>
                <w:sz w:val="18"/>
                <w:szCs w:val="18"/>
              </w:rPr>
              <w:t>Number of authors</w:t>
            </w:r>
          </w:p>
        </w:tc>
        <w:tc>
          <w:tcPr>
            <w:tcW w:w="7085" w:type="dxa"/>
            <w:gridSpan w:val="5"/>
            <w:shd w:val="clear" w:color="auto" w:fill="EBF1F9"/>
          </w:tcPr>
          <w:p w14:paraId="5D47AC1A" w14:textId="708D2146" w:rsidR="00FA4313" w:rsidRPr="00FA4313" w:rsidRDefault="00FA4313" w:rsidP="00FA4313">
            <w:pPr>
              <w:rPr>
                <w:sz w:val="20"/>
                <w:szCs w:val="20"/>
              </w:rPr>
            </w:pPr>
            <w:r>
              <w:rPr>
                <w:sz w:val="20"/>
                <w:szCs w:val="20"/>
              </w:rPr>
              <w:t>2</w:t>
            </w:r>
          </w:p>
        </w:tc>
      </w:tr>
      <w:tr w:rsidR="00FA4313" w:rsidRPr="00FA4313" w14:paraId="56DC989D" w14:textId="77777777" w:rsidTr="00975EDC">
        <w:tc>
          <w:tcPr>
            <w:tcW w:w="3061" w:type="dxa"/>
            <w:gridSpan w:val="2"/>
            <w:tcBorders>
              <w:top w:val="single" w:sz="4" w:space="0" w:color="FFFFFF"/>
              <w:bottom w:val="single" w:sz="4" w:space="0" w:color="FFFFFF"/>
            </w:tcBorders>
            <w:shd w:val="clear" w:color="auto" w:fill="032351"/>
          </w:tcPr>
          <w:p w14:paraId="695E7EF4" w14:textId="77777777" w:rsidR="00FA4313" w:rsidRPr="00FA4313" w:rsidRDefault="00FA4313" w:rsidP="00FA4313">
            <w:pPr>
              <w:rPr>
                <w:color w:val="FFFFFF"/>
                <w:sz w:val="18"/>
                <w:szCs w:val="18"/>
              </w:rPr>
            </w:pPr>
            <w:r w:rsidRPr="00FA4313">
              <w:rPr>
                <w:color w:val="FFFFFF"/>
                <w:sz w:val="18"/>
                <w:szCs w:val="18"/>
              </w:rPr>
              <w:t>Acknowledgements</w:t>
            </w:r>
          </w:p>
        </w:tc>
        <w:tc>
          <w:tcPr>
            <w:tcW w:w="7085" w:type="dxa"/>
            <w:gridSpan w:val="5"/>
            <w:shd w:val="clear" w:color="auto" w:fill="EBF1F9"/>
          </w:tcPr>
          <w:p w14:paraId="693950C6" w14:textId="50872FF6" w:rsidR="00FA4313" w:rsidRPr="00FA4313" w:rsidRDefault="00FA4313" w:rsidP="00FA4313">
            <w:pPr>
              <w:rPr>
                <w:sz w:val="20"/>
                <w:szCs w:val="20"/>
              </w:rPr>
            </w:pPr>
            <w:r>
              <w:rPr>
                <w:sz w:val="20"/>
                <w:szCs w:val="20"/>
              </w:rPr>
              <w:t>none</w:t>
            </w:r>
          </w:p>
        </w:tc>
      </w:tr>
      <w:tr w:rsidR="00FA4313" w:rsidRPr="00FA4313" w14:paraId="0830F828" w14:textId="77777777" w:rsidTr="00975EDC">
        <w:tc>
          <w:tcPr>
            <w:tcW w:w="3061" w:type="dxa"/>
            <w:gridSpan w:val="2"/>
            <w:tcBorders>
              <w:top w:val="single" w:sz="4" w:space="0" w:color="FFFFFF"/>
              <w:bottom w:val="single" w:sz="4" w:space="0" w:color="FFFFFF"/>
            </w:tcBorders>
            <w:shd w:val="clear" w:color="auto" w:fill="032351"/>
          </w:tcPr>
          <w:p w14:paraId="67D7B352" w14:textId="77777777" w:rsidR="00FA4313" w:rsidRPr="00FA4313" w:rsidRDefault="00FA4313" w:rsidP="00FA4313">
            <w:pPr>
              <w:rPr>
                <w:color w:val="FFFFFF"/>
                <w:sz w:val="18"/>
                <w:szCs w:val="18"/>
              </w:rPr>
            </w:pPr>
            <w:r w:rsidRPr="00FA4313">
              <w:rPr>
                <w:color w:val="FFFFFF"/>
                <w:sz w:val="18"/>
                <w:szCs w:val="18"/>
              </w:rPr>
              <w:t xml:space="preserve">Competing interests </w:t>
            </w:r>
          </w:p>
        </w:tc>
        <w:tc>
          <w:tcPr>
            <w:tcW w:w="7085" w:type="dxa"/>
            <w:gridSpan w:val="5"/>
            <w:shd w:val="clear" w:color="auto" w:fill="EBF1F9"/>
          </w:tcPr>
          <w:p w14:paraId="59074D65" w14:textId="79C2714E" w:rsidR="00FA4313" w:rsidRPr="00FA4313" w:rsidRDefault="00FA4313" w:rsidP="00FA4313">
            <w:pPr>
              <w:rPr>
                <w:sz w:val="20"/>
                <w:szCs w:val="20"/>
              </w:rPr>
            </w:pPr>
            <w:r w:rsidRPr="00FA4313">
              <w:rPr>
                <w:sz w:val="20"/>
                <w:szCs w:val="20"/>
              </w:rPr>
              <w:t>No competing interest</w:t>
            </w:r>
          </w:p>
        </w:tc>
      </w:tr>
      <w:tr w:rsidR="00FA4313" w:rsidRPr="00FA4313" w14:paraId="717B3E5A" w14:textId="77777777" w:rsidTr="00975EDC">
        <w:trPr>
          <w:trHeight w:val="149"/>
        </w:trPr>
        <w:tc>
          <w:tcPr>
            <w:tcW w:w="3061" w:type="dxa"/>
            <w:gridSpan w:val="2"/>
            <w:tcBorders>
              <w:top w:val="single" w:sz="4" w:space="0" w:color="FFFFFF"/>
              <w:bottom w:val="single" w:sz="4" w:space="0" w:color="FFFFFF"/>
            </w:tcBorders>
            <w:shd w:val="clear" w:color="auto" w:fill="032351"/>
          </w:tcPr>
          <w:p w14:paraId="59ACCF8D" w14:textId="77777777" w:rsidR="00FA4313" w:rsidRPr="00FA4313" w:rsidRDefault="00FA4313" w:rsidP="00FA4313">
            <w:pPr>
              <w:rPr>
                <w:color w:val="FFFFFF"/>
                <w:sz w:val="18"/>
                <w:szCs w:val="18"/>
              </w:rPr>
            </w:pPr>
            <w:r w:rsidRPr="00FA4313">
              <w:rPr>
                <w:color w:val="FFFFFF"/>
                <w:sz w:val="18"/>
                <w:szCs w:val="18"/>
              </w:rPr>
              <w:t>Author(s) contributions</w:t>
            </w:r>
          </w:p>
        </w:tc>
        <w:tc>
          <w:tcPr>
            <w:tcW w:w="7085" w:type="dxa"/>
            <w:gridSpan w:val="5"/>
            <w:shd w:val="clear" w:color="auto" w:fill="EBF1F9"/>
          </w:tcPr>
          <w:p w14:paraId="55A336D4" w14:textId="1116420F" w:rsidR="00FA4313" w:rsidRPr="00FA4313" w:rsidRDefault="00FA4313" w:rsidP="00FA4313">
            <w:pPr>
              <w:rPr>
                <w:sz w:val="20"/>
                <w:szCs w:val="20"/>
              </w:rPr>
            </w:pPr>
            <w:r w:rsidRPr="00FA4313">
              <w:rPr>
                <w:sz w:val="20"/>
                <w:szCs w:val="20"/>
              </w:rPr>
              <w:t xml:space="preserve">Sonja Grater and Mihalis </w:t>
            </w:r>
            <w:proofErr w:type="spellStart"/>
            <w:r w:rsidRPr="00FA4313">
              <w:rPr>
                <w:sz w:val="20"/>
                <w:szCs w:val="20"/>
              </w:rPr>
              <w:t>Chasomeris</w:t>
            </w:r>
            <w:proofErr w:type="spellEnd"/>
            <w:r w:rsidRPr="00FA4313">
              <w:rPr>
                <w:sz w:val="20"/>
                <w:szCs w:val="20"/>
              </w:rPr>
              <w:t xml:space="preserve"> conceived of the presented idea. Both authors developed the theory and Sonja Grater wrote the majority of the literature background. Sonja Grater performed the computations in section 3.1. Mihalis </w:t>
            </w:r>
            <w:proofErr w:type="spellStart"/>
            <w:r w:rsidRPr="00FA4313">
              <w:rPr>
                <w:sz w:val="20"/>
                <w:szCs w:val="20"/>
              </w:rPr>
              <w:t>Chasomeris</w:t>
            </w:r>
            <w:proofErr w:type="spellEnd"/>
            <w:r w:rsidRPr="00FA4313">
              <w:rPr>
                <w:sz w:val="20"/>
                <w:szCs w:val="20"/>
              </w:rPr>
              <w:t xml:space="preserve"> contributed to the literature background and performed the computations and analytical work in section 3.2, 4 and 5. All authors discussed the results and contributed to the final manuscript.</w:t>
            </w:r>
          </w:p>
        </w:tc>
      </w:tr>
      <w:tr w:rsidR="00FA4313" w:rsidRPr="00FA4313" w14:paraId="039D87AE" w14:textId="77777777" w:rsidTr="00975EDC">
        <w:tc>
          <w:tcPr>
            <w:tcW w:w="3061" w:type="dxa"/>
            <w:gridSpan w:val="2"/>
            <w:tcBorders>
              <w:top w:val="single" w:sz="4" w:space="0" w:color="FFFFFF"/>
              <w:bottom w:val="single" w:sz="4" w:space="0" w:color="FFFFFF"/>
            </w:tcBorders>
            <w:shd w:val="clear" w:color="auto" w:fill="032351"/>
          </w:tcPr>
          <w:p w14:paraId="2013ECA5" w14:textId="77777777" w:rsidR="00FA4313" w:rsidRPr="00FA4313" w:rsidRDefault="00FA4313" w:rsidP="00FA4313">
            <w:pPr>
              <w:rPr>
                <w:color w:val="FFFFFF"/>
                <w:sz w:val="18"/>
                <w:szCs w:val="18"/>
              </w:rPr>
            </w:pPr>
            <w:r w:rsidRPr="00FA4313">
              <w:rPr>
                <w:color w:val="FFFFFF"/>
                <w:sz w:val="18"/>
                <w:szCs w:val="18"/>
              </w:rPr>
              <w:t>Funding Information</w:t>
            </w:r>
          </w:p>
        </w:tc>
        <w:tc>
          <w:tcPr>
            <w:tcW w:w="7085" w:type="dxa"/>
            <w:gridSpan w:val="5"/>
            <w:shd w:val="clear" w:color="auto" w:fill="EBF1F9"/>
          </w:tcPr>
          <w:p w14:paraId="376A49C9" w14:textId="605327C7" w:rsidR="00FA4313" w:rsidRPr="00FA4313" w:rsidRDefault="00975EDC" w:rsidP="00FA4313">
            <w:pPr>
              <w:rPr>
                <w:sz w:val="20"/>
                <w:szCs w:val="20"/>
              </w:rPr>
            </w:pPr>
            <w:r w:rsidRPr="00975EDC">
              <w:rPr>
                <w:sz w:val="20"/>
                <w:szCs w:val="20"/>
              </w:rPr>
              <w:t>This research received no funding</w:t>
            </w:r>
          </w:p>
        </w:tc>
      </w:tr>
      <w:tr w:rsidR="00FA4313" w:rsidRPr="00FA4313" w14:paraId="2EF59B76" w14:textId="77777777" w:rsidTr="00975EDC">
        <w:tc>
          <w:tcPr>
            <w:tcW w:w="3061" w:type="dxa"/>
            <w:gridSpan w:val="2"/>
            <w:tcBorders>
              <w:top w:val="single" w:sz="4" w:space="0" w:color="FFFFFF"/>
              <w:bottom w:val="single" w:sz="4" w:space="0" w:color="FFFFFF"/>
            </w:tcBorders>
            <w:shd w:val="clear" w:color="auto" w:fill="032351"/>
          </w:tcPr>
          <w:p w14:paraId="4D6AC1A7" w14:textId="77777777" w:rsidR="00FA4313" w:rsidRPr="00FA4313" w:rsidRDefault="00FA4313" w:rsidP="00FA4313">
            <w:pPr>
              <w:rPr>
                <w:color w:val="FFFFFF"/>
                <w:sz w:val="18"/>
                <w:szCs w:val="18"/>
              </w:rPr>
            </w:pPr>
            <w:r w:rsidRPr="00FA4313">
              <w:rPr>
                <w:color w:val="FFFFFF"/>
                <w:sz w:val="18"/>
                <w:szCs w:val="18"/>
              </w:rPr>
              <w:t>Data availability statement</w:t>
            </w:r>
          </w:p>
        </w:tc>
        <w:tc>
          <w:tcPr>
            <w:tcW w:w="7085" w:type="dxa"/>
            <w:gridSpan w:val="5"/>
            <w:shd w:val="clear" w:color="auto" w:fill="EBF1F9"/>
          </w:tcPr>
          <w:p w14:paraId="1393FA4A" w14:textId="44F8BC51" w:rsidR="00FA4313" w:rsidRPr="00FA4313" w:rsidRDefault="00975EDC" w:rsidP="00FA4313">
            <w:pPr>
              <w:rPr>
                <w:sz w:val="20"/>
                <w:szCs w:val="20"/>
              </w:rPr>
            </w:pPr>
            <w:r w:rsidRPr="00975EDC">
              <w:rPr>
                <w:sz w:val="20"/>
                <w:szCs w:val="20"/>
              </w:rPr>
              <w:t xml:space="preserve">All data used was secondary and obtained from </w:t>
            </w:r>
            <w:proofErr w:type="spellStart"/>
            <w:r w:rsidRPr="00975EDC">
              <w:rPr>
                <w:sz w:val="20"/>
                <w:szCs w:val="20"/>
              </w:rPr>
              <w:t>publically</w:t>
            </w:r>
            <w:proofErr w:type="spellEnd"/>
            <w:r w:rsidRPr="00975EDC">
              <w:rPr>
                <w:sz w:val="20"/>
                <w:szCs w:val="20"/>
              </w:rPr>
              <w:t xml:space="preserve"> available databases.</w:t>
            </w:r>
          </w:p>
        </w:tc>
      </w:tr>
      <w:tr w:rsidR="00FA4313" w:rsidRPr="00FA4313" w14:paraId="2B6166F7" w14:textId="77777777" w:rsidTr="00975EDC">
        <w:tc>
          <w:tcPr>
            <w:tcW w:w="3061" w:type="dxa"/>
            <w:gridSpan w:val="2"/>
            <w:tcBorders>
              <w:top w:val="single" w:sz="4" w:space="0" w:color="FFFFFF"/>
              <w:bottom w:val="single" w:sz="4" w:space="0" w:color="FFFFFF"/>
            </w:tcBorders>
            <w:shd w:val="clear" w:color="auto" w:fill="032351"/>
          </w:tcPr>
          <w:p w14:paraId="1F59C8A6" w14:textId="77777777" w:rsidR="00FA4313" w:rsidRPr="00FA4313" w:rsidRDefault="00FA4313" w:rsidP="00FA4313">
            <w:pPr>
              <w:rPr>
                <w:color w:val="FFFFFF"/>
                <w:sz w:val="18"/>
                <w:szCs w:val="18"/>
              </w:rPr>
            </w:pPr>
            <w:r w:rsidRPr="00FA4313">
              <w:rPr>
                <w:color w:val="FFFFFF"/>
                <w:sz w:val="18"/>
                <w:szCs w:val="18"/>
              </w:rPr>
              <w:t>Disclaimer</w:t>
            </w:r>
          </w:p>
        </w:tc>
        <w:tc>
          <w:tcPr>
            <w:tcW w:w="7085" w:type="dxa"/>
            <w:gridSpan w:val="5"/>
            <w:shd w:val="clear" w:color="auto" w:fill="EBF1F9"/>
          </w:tcPr>
          <w:p w14:paraId="5273466B" w14:textId="6F6E74C3" w:rsidR="00FA4313" w:rsidRPr="00FA4313" w:rsidRDefault="00975EDC" w:rsidP="00FA4313">
            <w:pPr>
              <w:rPr>
                <w:sz w:val="20"/>
                <w:szCs w:val="20"/>
              </w:rPr>
            </w:pPr>
            <w:r w:rsidRPr="00975EDC">
              <w:rPr>
                <w:sz w:val="20"/>
                <w:szCs w:val="20"/>
              </w:rPr>
              <w:t xml:space="preserve">The views and opinions expressed in this article are those of the authors and do not reflect the official policy position or position of the </w:t>
            </w:r>
            <w:r w:rsidRPr="00975EDC">
              <w:rPr>
                <w:sz w:val="20"/>
                <w:szCs w:val="20"/>
              </w:rPr>
              <w:t>affiliated</w:t>
            </w:r>
            <w:r w:rsidRPr="00975EDC">
              <w:rPr>
                <w:sz w:val="20"/>
                <w:szCs w:val="20"/>
              </w:rPr>
              <w:t xml:space="preserve"> organisations of the authors.</w:t>
            </w:r>
          </w:p>
        </w:tc>
      </w:tr>
      <w:tr w:rsidR="00FA4313" w:rsidRPr="00FA4313" w14:paraId="17AD0B61" w14:textId="77777777" w:rsidTr="00975EDC">
        <w:tc>
          <w:tcPr>
            <w:tcW w:w="3061" w:type="dxa"/>
            <w:gridSpan w:val="2"/>
            <w:tcBorders>
              <w:top w:val="single" w:sz="4" w:space="0" w:color="FFFFFF"/>
              <w:bottom w:val="single" w:sz="4" w:space="0" w:color="FFFFFF"/>
            </w:tcBorders>
            <w:shd w:val="clear" w:color="auto" w:fill="032351"/>
          </w:tcPr>
          <w:p w14:paraId="52B7E161" w14:textId="77777777" w:rsidR="00FA4313" w:rsidRPr="00FA4313" w:rsidRDefault="00FA4313" w:rsidP="00FA4313">
            <w:pPr>
              <w:rPr>
                <w:color w:val="FFFFFF"/>
                <w:sz w:val="18"/>
                <w:szCs w:val="18"/>
              </w:rPr>
            </w:pPr>
            <w:r w:rsidRPr="00FA4313">
              <w:rPr>
                <w:color w:val="FFFFFF"/>
                <w:sz w:val="18"/>
                <w:szCs w:val="18"/>
              </w:rPr>
              <w:t>Ethical consideration Statement (include number)</w:t>
            </w:r>
          </w:p>
        </w:tc>
        <w:tc>
          <w:tcPr>
            <w:tcW w:w="7085" w:type="dxa"/>
            <w:gridSpan w:val="5"/>
            <w:shd w:val="clear" w:color="auto" w:fill="EBF1F9"/>
          </w:tcPr>
          <w:p w14:paraId="734E234C" w14:textId="18E91617" w:rsidR="00FA4313" w:rsidRPr="00FA4313" w:rsidRDefault="00975EDC" w:rsidP="00FA4313">
            <w:pPr>
              <w:rPr>
                <w:sz w:val="20"/>
                <w:szCs w:val="20"/>
              </w:rPr>
            </w:pPr>
            <w:r w:rsidRPr="00975EDC">
              <w:rPr>
                <w:sz w:val="20"/>
                <w:szCs w:val="20"/>
              </w:rPr>
              <w:t>Graduate School of Business and Leadership, University of KwaZulu- Natal has granted Exemption from Ethics Review.</w:t>
            </w:r>
            <w:r>
              <w:t xml:space="preserve"> </w:t>
            </w:r>
            <w:r w:rsidRPr="00975EDC">
              <w:rPr>
                <w:sz w:val="20"/>
                <w:szCs w:val="20"/>
              </w:rPr>
              <w:t>00014026</w:t>
            </w:r>
          </w:p>
        </w:tc>
      </w:tr>
      <w:tr w:rsidR="00FA4313" w:rsidRPr="00FA4313" w14:paraId="29CF21C9" w14:textId="77777777" w:rsidTr="00975EDC">
        <w:tc>
          <w:tcPr>
            <w:tcW w:w="3061" w:type="dxa"/>
            <w:gridSpan w:val="2"/>
            <w:tcBorders>
              <w:top w:val="single" w:sz="4" w:space="0" w:color="FFFFFF"/>
              <w:bottom w:val="single" w:sz="4" w:space="0" w:color="FFFFFF"/>
            </w:tcBorders>
            <w:shd w:val="clear" w:color="auto" w:fill="032351"/>
          </w:tcPr>
          <w:p w14:paraId="649A49F3" w14:textId="77777777" w:rsidR="00FA4313" w:rsidRPr="00FA4313" w:rsidRDefault="00FA4313" w:rsidP="00FA4313">
            <w:pPr>
              <w:rPr>
                <w:color w:val="FFFFFF"/>
                <w:sz w:val="18"/>
                <w:szCs w:val="18"/>
              </w:rPr>
            </w:pPr>
            <w:r w:rsidRPr="00FA4313">
              <w:rPr>
                <w:color w:val="FFFFFF"/>
                <w:sz w:val="18"/>
                <w:szCs w:val="18"/>
              </w:rPr>
              <w:t>Project research number</w:t>
            </w:r>
            <w:r w:rsidRPr="00FA4313">
              <w:rPr>
                <w:color w:val="FFFFFF"/>
                <w:sz w:val="16"/>
                <w:szCs w:val="16"/>
              </w:rPr>
              <w:t xml:space="preserve"> (if applicable)</w:t>
            </w:r>
          </w:p>
        </w:tc>
        <w:tc>
          <w:tcPr>
            <w:tcW w:w="7085" w:type="dxa"/>
            <w:gridSpan w:val="5"/>
            <w:shd w:val="clear" w:color="auto" w:fill="EBF1F9"/>
          </w:tcPr>
          <w:p w14:paraId="0E13D495" w14:textId="77777777" w:rsidR="00FA4313" w:rsidRPr="00FA4313" w:rsidRDefault="00FA4313" w:rsidP="00FA4313">
            <w:pPr>
              <w:rPr>
                <w:sz w:val="20"/>
                <w:szCs w:val="20"/>
              </w:rPr>
            </w:pPr>
          </w:p>
        </w:tc>
      </w:tr>
      <w:tr w:rsidR="00FA4313" w:rsidRPr="00FA4313" w14:paraId="36058836" w14:textId="77777777" w:rsidTr="00975EDC">
        <w:trPr>
          <w:trHeight w:val="173"/>
        </w:trPr>
        <w:tc>
          <w:tcPr>
            <w:tcW w:w="10146" w:type="dxa"/>
            <w:gridSpan w:val="7"/>
            <w:shd w:val="clear" w:color="auto" w:fill="71D300"/>
          </w:tcPr>
          <w:p w14:paraId="0A4FE4B4" w14:textId="77777777" w:rsidR="00FA4313" w:rsidRPr="00FA4313" w:rsidRDefault="00FA4313" w:rsidP="00FA4313">
            <w:pPr>
              <w:rPr>
                <w:sz w:val="24"/>
                <w:szCs w:val="24"/>
              </w:rPr>
            </w:pPr>
            <w:r w:rsidRPr="00FA4313">
              <w:rPr>
                <w:sz w:val="16"/>
                <w:szCs w:val="16"/>
              </w:rPr>
              <w:t>TRANSLATIONS: ONLY APPLICABLE FOR NON-ENGLISH MANUSCRIPTS (OR JOURNALS REQUESTING ANOTHER LANGUAGE FOR ABSTRACTS)</w:t>
            </w:r>
          </w:p>
        </w:tc>
      </w:tr>
      <w:tr w:rsidR="00FA4313" w:rsidRPr="00FA4313" w14:paraId="1326E3CF" w14:textId="77777777" w:rsidTr="00975EDC">
        <w:tc>
          <w:tcPr>
            <w:tcW w:w="3061" w:type="dxa"/>
            <w:gridSpan w:val="2"/>
            <w:tcBorders>
              <w:top w:val="single" w:sz="4" w:space="0" w:color="FFFFFF"/>
              <w:bottom w:val="single" w:sz="4" w:space="0" w:color="FFFFFF"/>
            </w:tcBorders>
            <w:shd w:val="clear" w:color="auto" w:fill="032351"/>
          </w:tcPr>
          <w:p w14:paraId="0D4749A6" w14:textId="77777777" w:rsidR="00FA4313" w:rsidRPr="00FA4313" w:rsidRDefault="00FA4313" w:rsidP="00FA4313">
            <w:pPr>
              <w:rPr>
                <w:color w:val="FFFFFF"/>
                <w:sz w:val="18"/>
                <w:szCs w:val="18"/>
              </w:rPr>
            </w:pPr>
            <w:r w:rsidRPr="00FA4313">
              <w:rPr>
                <w:color w:val="FFFFFF"/>
                <w:sz w:val="18"/>
                <w:szCs w:val="18"/>
              </w:rPr>
              <w:t>Manuscript title in another language</w:t>
            </w:r>
          </w:p>
        </w:tc>
        <w:tc>
          <w:tcPr>
            <w:tcW w:w="7085" w:type="dxa"/>
            <w:gridSpan w:val="5"/>
            <w:shd w:val="clear" w:color="auto" w:fill="EBF1F9"/>
          </w:tcPr>
          <w:p w14:paraId="02E12A78" w14:textId="77777777" w:rsidR="00FA4313" w:rsidRPr="00FA4313" w:rsidRDefault="00FA4313" w:rsidP="00FA4313">
            <w:pPr>
              <w:rPr>
                <w:sz w:val="20"/>
                <w:szCs w:val="20"/>
              </w:rPr>
            </w:pPr>
            <w:r w:rsidRPr="00FA4313">
              <w:rPr>
                <w:sz w:val="20"/>
                <w:szCs w:val="20"/>
              </w:rPr>
              <w:t>Not applicable, no action required from author.</w:t>
            </w:r>
          </w:p>
        </w:tc>
      </w:tr>
      <w:tr w:rsidR="00FA4313" w:rsidRPr="00FA4313" w14:paraId="67CB055B" w14:textId="77777777" w:rsidTr="00975EDC">
        <w:tc>
          <w:tcPr>
            <w:tcW w:w="3061" w:type="dxa"/>
            <w:gridSpan w:val="2"/>
            <w:tcBorders>
              <w:top w:val="single" w:sz="4" w:space="0" w:color="FFFFFF"/>
              <w:bottom w:val="single" w:sz="4" w:space="0" w:color="FFFFFF"/>
            </w:tcBorders>
            <w:shd w:val="clear" w:color="auto" w:fill="032351"/>
          </w:tcPr>
          <w:p w14:paraId="55FE481A" w14:textId="77777777" w:rsidR="00FA4313" w:rsidRPr="00FA4313" w:rsidRDefault="00FA4313" w:rsidP="00FA4313">
            <w:pPr>
              <w:rPr>
                <w:color w:val="FFFFFF"/>
                <w:sz w:val="18"/>
                <w:szCs w:val="18"/>
              </w:rPr>
            </w:pPr>
            <w:r w:rsidRPr="00FA4313">
              <w:rPr>
                <w:color w:val="FFFFFF"/>
                <w:sz w:val="18"/>
                <w:szCs w:val="18"/>
              </w:rPr>
              <w:t>Manuscript abstract in another language</w:t>
            </w:r>
          </w:p>
        </w:tc>
        <w:tc>
          <w:tcPr>
            <w:tcW w:w="7085" w:type="dxa"/>
            <w:gridSpan w:val="5"/>
            <w:shd w:val="clear" w:color="auto" w:fill="EBF1F9"/>
          </w:tcPr>
          <w:p w14:paraId="1720FE5D" w14:textId="77777777" w:rsidR="00FA4313" w:rsidRPr="00FA4313" w:rsidRDefault="00FA4313" w:rsidP="00FA4313">
            <w:pPr>
              <w:rPr>
                <w:sz w:val="20"/>
                <w:szCs w:val="20"/>
              </w:rPr>
            </w:pPr>
            <w:r w:rsidRPr="00FA4313">
              <w:rPr>
                <w:sz w:val="20"/>
                <w:szCs w:val="20"/>
              </w:rPr>
              <w:t>Not applicable, no action required from author.</w:t>
            </w:r>
          </w:p>
        </w:tc>
      </w:tr>
      <w:tr w:rsidR="00FA4313" w:rsidRPr="00FA4313" w14:paraId="1E629DF3" w14:textId="77777777" w:rsidTr="00975EDC">
        <w:tc>
          <w:tcPr>
            <w:tcW w:w="3061" w:type="dxa"/>
            <w:gridSpan w:val="2"/>
            <w:tcBorders>
              <w:top w:val="single" w:sz="4" w:space="0" w:color="FFFFFF"/>
              <w:bottom w:val="single" w:sz="4" w:space="0" w:color="FFFFFF"/>
            </w:tcBorders>
            <w:shd w:val="clear" w:color="auto" w:fill="032351"/>
          </w:tcPr>
          <w:p w14:paraId="72997083" w14:textId="77777777" w:rsidR="00FA4313" w:rsidRPr="00FA4313" w:rsidRDefault="00FA4313" w:rsidP="00FA4313">
            <w:pPr>
              <w:rPr>
                <w:color w:val="FFFFFF"/>
                <w:sz w:val="18"/>
                <w:szCs w:val="18"/>
              </w:rPr>
            </w:pPr>
            <w:r w:rsidRPr="00FA4313">
              <w:rPr>
                <w:color w:val="FFFFFF"/>
                <w:sz w:val="18"/>
                <w:szCs w:val="18"/>
              </w:rPr>
              <w:t>Manuscript keywords in another language</w:t>
            </w:r>
          </w:p>
        </w:tc>
        <w:tc>
          <w:tcPr>
            <w:tcW w:w="7085" w:type="dxa"/>
            <w:gridSpan w:val="5"/>
            <w:shd w:val="clear" w:color="auto" w:fill="EBF1F9"/>
          </w:tcPr>
          <w:p w14:paraId="037E467B" w14:textId="77777777" w:rsidR="00FA4313" w:rsidRPr="00FA4313" w:rsidRDefault="00FA4313" w:rsidP="00FA4313">
            <w:pPr>
              <w:rPr>
                <w:sz w:val="20"/>
                <w:szCs w:val="20"/>
              </w:rPr>
            </w:pPr>
            <w:r w:rsidRPr="00FA4313">
              <w:rPr>
                <w:sz w:val="20"/>
                <w:szCs w:val="20"/>
              </w:rPr>
              <w:t>Not applicable, no action required from author.</w:t>
            </w:r>
          </w:p>
        </w:tc>
      </w:tr>
      <w:tr w:rsidR="00FA4313" w:rsidRPr="00FA4313" w14:paraId="40CB88AB" w14:textId="77777777" w:rsidTr="00975EDC">
        <w:trPr>
          <w:trHeight w:val="486"/>
        </w:trPr>
        <w:tc>
          <w:tcPr>
            <w:tcW w:w="10146" w:type="dxa"/>
            <w:gridSpan w:val="7"/>
            <w:shd w:val="clear" w:color="auto" w:fill="8A1E04"/>
          </w:tcPr>
          <w:p w14:paraId="48522EC5" w14:textId="77777777" w:rsidR="00FA4313" w:rsidRPr="00FA4313" w:rsidRDefault="00FA4313" w:rsidP="00FA4313">
            <w:pPr>
              <w:rPr>
                <w:color w:val="FFFFFF"/>
                <w:sz w:val="18"/>
                <w:szCs w:val="18"/>
              </w:rPr>
            </w:pPr>
            <w:r w:rsidRPr="00FA4313">
              <w:rPr>
                <w:color w:val="FFFFFF"/>
                <w:sz w:val="18"/>
                <w:szCs w:val="18"/>
              </w:rPr>
              <w:lastRenderedPageBreak/>
              <w:t>Please list ALL AUTHORS in the same order as they should appear on the published submission. Any deviation from the original submitted manuscript regarding the following list, will result in an ‘AUTHORSHIP CHANGE FORM’ that must be completed by all authors when:</w:t>
            </w:r>
          </w:p>
          <w:p w14:paraId="13D91DF3" w14:textId="77777777" w:rsidR="00FA4313" w:rsidRPr="00FA4313" w:rsidRDefault="00FA4313" w:rsidP="00FA4313">
            <w:pPr>
              <w:numPr>
                <w:ilvl w:val="0"/>
                <w:numId w:val="7"/>
              </w:numPr>
              <w:autoSpaceDE w:val="0"/>
              <w:autoSpaceDN w:val="0"/>
              <w:adjustRightInd w:val="0"/>
              <w:ind w:left="714" w:hanging="357"/>
              <w:rPr>
                <w:color w:val="FFFFFF"/>
                <w:sz w:val="16"/>
                <w:szCs w:val="16"/>
              </w:rPr>
            </w:pPr>
            <w:r w:rsidRPr="00FA4313">
              <w:rPr>
                <w:color w:val="FFFFFF"/>
                <w:sz w:val="16"/>
                <w:szCs w:val="16"/>
              </w:rPr>
              <w:t xml:space="preserve">New author(s) have been added </w:t>
            </w:r>
          </w:p>
          <w:p w14:paraId="0B5EB9B7" w14:textId="77777777" w:rsidR="00FA4313" w:rsidRPr="00FA4313" w:rsidRDefault="00FA4313" w:rsidP="00FA4313">
            <w:pPr>
              <w:numPr>
                <w:ilvl w:val="0"/>
                <w:numId w:val="7"/>
              </w:numPr>
              <w:autoSpaceDE w:val="0"/>
              <w:autoSpaceDN w:val="0"/>
              <w:adjustRightInd w:val="0"/>
              <w:ind w:left="714" w:hanging="357"/>
              <w:rPr>
                <w:color w:val="FFFFFF"/>
                <w:sz w:val="16"/>
                <w:szCs w:val="16"/>
              </w:rPr>
            </w:pPr>
            <w:r w:rsidRPr="00FA4313">
              <w:rPr>
                <w:color w:val="FFFFFF"/>
                <w:sz w:val="16"/>
                <w:szCs w:val="16"/>
              </w:rPr>
              <w:t xml:space="preserve">There is a change in the order of authorship </w:t>
            </w:r>
          </w:p>
          <w:p w14:paraId="4C074B11" w14:textId="77777777" w:rsidR="00FA4313" w:rsidRPr="00FA4313" w:rsidRDefault="00FA4313" w:rsidP="00FA4313">
            <w:pPr>
              <w:numPr>
                <w:ilvl w:val="0"/>
                <w:numId w:val="7"/>
              </w:numPr>
              <w:autoSpaceDE w:val="0"/>
              <w:autoSpaceDN w:val="0"/>
              <w:adjustRightInd w:val="0"/>
              <w:ind w:left="714" w:hanging="357"/>
              <w:rPr>
                <w:color w:val="FFFFFF"/>
                <w:sz w:val="16"/>
                <w:szCs w:val="16"/>
              </w:rPr>
            </w:pPr>
            <w:r w:rsidRPr="00FA4313">
              <w:rPr>
                <w:color w:val="FFFFFF"/>
                <w:sz w:val="16"/>
                <w:szCs w:val="16"/>
              </w:rPr>
              <w:t xml:space="preserve">An author wishes to remove his/her name. An author’s name may only be removed at his/her own request and a letter signed by the author should accompany this form </w:t>
            </w:r>
          </w:p>
          <w:p w14:paraId="4ED79DBF" w14:textId="77777777" w:rsidR="00FA4313" w:rsidRPr="00FA4313" w:rsidRDefault="00FA4313" w:rsidP="00FA4313">
            <w:pPr>
              <w:numPr>
                <w:ilvl w:val="0"/>
                <w:numId w:val="7"/>
              </w:numPr>
              <w:ind w:left="714" w:hanging="357"/>
              <w:rPr>
                <w:color w:val="FFFFFF"/>
                <w:sz w:val="18"/>
                <w:szCs w:val="18"/>
              </w:rPr>
            </w:pPr>
            <w:r w:rsidRPr="00FA4313">
              <w:rPr>
                <w:color w:val="FFFFFF"/>
                <w:sz w:val="16"/>
                <w:szCs w:val="16"/>
              </w:rPr>
              <w:t>An author wishes to change affiliation before publication of the article.</w:t>
            </w:r>
          </w:p>
        </w:tc>
      </w:tr>
      <w:tr w:rsidR="00FA4313" w:rsidRPr="00FA4313" w14:paraId="1615D98E" w14:textId="77777777" w:rsidTr="00975EDC">
        <w:trPr>
          <w:trHeight w:val="252"/>
        </w:trPr>
        <w:tc>
          <w:tcPr>
            <w:tcW w:w="709" w:type="dxa"/>
            <w:shd w:val="clear" w:color="auto" w:fill="032351"/>
          </w:tcPr>
          <w:p w14:paraId="5B46F19E" w14:textId="77777777" w:rsidR="00FA4313" w:rsidRPr="00FA4313" w:rsidRDefault="00FA4313" w:rsidP="00FA4313">
            <w:pPr>
              <w:rPr>
                <w:color w:val="FFFFFF"/>
                <w:sz w:val="18"/>
                <w:szCs w:val="18"/>
              </w:rPr>
            </w:pPr>
            <w:r w:rsidRPr="00FA4313">
              <w:rPr>
                <w:color w:val="FFFFFF"/>
                <w:sz w:val="18"/>
                <w:szCs w:val="18"/>
              </w:rPr>
              <w:t xml:space="preserve">Order </w:t>
            </w:r>
          </w:p>
        </w:tc>
        <w:tc>
          <w:tcPr>
            <w:tcW w:w="2352" w:type="dxa"/>
            <w:shd w:val="clear" w:color="auto" w:fill="032351"/>
          </w:tcPr>
          <w:p w14:paraId="4BB03102" w14:textId="77777777" w:rsidR="00FA4313" w:rsidRPr="00FA4313" w:rsidRDefault="00FA4313" w:rsidP="00FA4313">
            <w:pPr>
              <w:rPr>
                <w:color w:val="FFFFFF"/>
                <w:sz w:val="18"/>
                <w:szCs w:val="18"/>
              </w:rPr>
            </w:pPr>
            <w:r w:rsidRPr="00FA4313">
              <w:rPr>
                <w:color w:val="FFFFFF"/>
                <w:sz w:val="18"/>
                <w:szCs w:val="18"/>
              </w:rPr>
              <w:t>Author Name</w:t>
            </w:r>
          </w:p>
        </w:tc>
        <w:tc>
          <w:tcPr>
            <w:tcW w:w="1662" w:type="dxa"/>
            <w:shd w:val="clear" w:color="auto" w:fill="032351"/>
          </w:tcPr>
          <w:p w14:paraId="4155082C" w14:textId="77777777" w:rsidR="00FA4313" w:rsidRPr="00FA4313" w:rsidRDefault="00FA4313" w:rsidP="00FA4313">
            <w:pPr>
              <w:rPr>
                <w:color w:val="FFFFFF"/>
                <w:sz w:val="18"/>
                <w:szCs w:val="18"/>
              </w:rPr>
            </w:pPr>
            <w:r w:rsidRPr="00FA4313">
              <w:rPr>
                <w:color w:val="FFFFFF"/>
                <w:sz w:val="18"/>
                <w:szCs w:val="18"/>
              </w:rPr>
              <w:t>Author Affiliation</w:t>
            </w:r>
          </w:p>
        </w:tc>
        <w:tc>
          <w:tcPr>
            <w:tcW w:w="1432" w:type="dxa"/>
            <w:shd w:val="clear" w:color="auto" w:fill="032351"/>
          </w:tcPr>
          <w:p w14:paraId="76274FC8" w14:textId="77777777" w:rsidR="00FA4313" w:rsidRPr="00FA4313" w:rsidRDefault="00FA4313" w:rsidP="00FA4313">
            <w:pPr>
              <w:rPr>
                <w:color w:val="FFFFFF"/>
                <w:sz w:val="18"/>
                <w:szCs w:val="18"/>
              </w:rPr>
            </w:pPr>
            <w:r w:rsidRPr="00FA4313">
              <w:rPr>
                <w:color w:val="FFFFFF"/>
                <w:sz w:val="18"/>
                <w:szCs w:val="18"/>
              </w:rPr>
              <w:t>Country</w:t>
            </w:r>
          </w:p>
        </w:tc>
        <w:tc>
          <w:tcPr>
            <w:tcW w:w="2121" w:type="dxa"/>
            <w:gridSpan w:val="2"/>
            <w:shd w:val="clear" w:color="auto" w:fill="032351"/>
          </w:tcPr>
          <w:p w14:paraId="5D2C96A7" w14:textId="77777777" w:rsidR="00FA4313" w:rsidRPr="00FA4313" w:rsidRDefault="00FA4313" w:rsidP="00FA4313">
            <w:pPr>
              <w:rPr>
                <w:color w:val="FFFFFF"/>
                <w:sz w:val="18"/>
                <w:szCs w:val="18"/>
              </w:rPr>
            </w:pPr>
            <w:r w:rsidRPr="00FA4313">
              <w:rPr>
                <w:color w:val="FFFFFF"/>
                <w:sz w:val="18"/>
                <w:szCs w:val="18"/>
              </w:rPr>
              <w:t>ORCID†</w:t>
            </w:r>
          </w:p>
        </w:tc>
        <w:tc>
          <w:tcPr>
            <w:tcW w:w="1870" w:type="dxa"/>
            <w:shd w:val="clear" w:color="auto" w:fill="032351"/>
          </w:tcPr>
          <w:p w14:paraId="129C6D32" w14:textId="77777777" w:rsidR="00FA4313" w:rsidRPr="00FA4313" w:rsidRDefault="00FA4313" w:rsidP="00FA4313">
            <w:pPr>
              <w:rPr>
                <w:color w:val="FFFFFF"/>
                <w:sz w:val="18"/>
                <w:szCs w:val="18"/>
              </w:rPr>
            </w:pPr>
            <w:r w:rsidRPr="00FA4313">
              <w:rPr>
                <w:color w:val="FFFFFF"/>
                <w:sz w:val="18"/>
                <w:szCs w:val="18"/>
              </w:rPr>
              <w:t>Twitter username*</w:t>
            </w:r>
          </w:p>
        </w:tc>
      </w:tr>
      <w:tr w:rsidR="00FA4313" w:rsidRPr="00FA4313" w14:paraId="5271D48E" w14:textId="77777777" w:rsidTr="00975EDC">
        <w:trPr>
          <w:trHeight w:val="276"/>
        </w:trPr>
        <w:tc>
          <w:tcPr>
            <w:tcW w:w="709" w:type="dxa"/>
          </w:tcPr>
          <w:p w14:paraId="5F47CD83" w14:textId="77777777" w:rsidR="00FA4313" w:rsidRPr="00FA4313" w:rsidRDefault="00FA4313" w:rsidP="00FA4313">
            <w:pPr>
              <w:rPr>
                <w:sz w:val="18"/>
                <w:szCs w:val="18"/>
              </w:rPr>
            </w:pPr>
            <w:r w:rsidRPr="00FA4313">
              <w:rPr>
                <w:sz w:val="18"/>
                <w:szCs w:val="18"/>
              </w:rPr>
              <w:t>1st</w:t>
            </w:r>
          </w:p>
        </w:tc>
        <w:tc>
          <w:tcPr>
            <w:tcW w:w="2352" w:type="dxa"/>
            <w:shd w:val="clear" w:color="auto" w:fill="EBF1F9"/>
          </w:tcPr>
          <w:p w14:paraId="60A40BE1" w14:textId="62A8AD57" w:rsidR="00FA4313" w:rsidRPr="00FA4313" w:rsidRDefault="00975EDC" w:rsidP="00FA4313">
            <w:pPr>
              <w:rPr>
                <w:sz w:val="20"/>
                <w:szCs w:val="20"/>
              </w:rPr>
            </w:pPr>
            <w:r w:rsidRPr="00975EDC">
              <w:rPr>
                <w:sz w:val="20"/>
                <w:szCs w:val="20"/>
              </w:rPr>
              <w:t>Sonja Grater</w:t>
            </w:r>
          </w:p>
        </w:tc>
        <w:tc>
          <w:tcPr>
            <w:tcW w:w="1662" w:type="dxa"/>
            <w:shd w:val="clear" w:color="auto" w:fill="EBF1F9"/>
          </w:tcPr>
          <w:p w14:paraId="1068A928" w14:textId="1CDBF19C" w:rsidR="00FA4313" w:rsidRPr="00FA4313" w:rsidRDefault="00975EDC" w:rsidP="00FA4313">
            <w:pPr>
              <w:rPr>
                <w:sz w:val="20"/>
                <w:szCs w:val="20"/>
              </w:rPr>
            </w:pPr>
            <w:r w:rsidRPr="00975EDC">
              <w:rPr>
                <w:sz w:val="20"/>
                <w:szCs w:val="20"/>
              </w:rPr>
              <w:t>School of Economics, Faculty of Economic and Management Sciences, North West University, Potchefstroom</w:t>
            </w:r>
          </w:p>
        </w:tc>
        <w:tc>
          <w:tcPr>
            <w:tcW w:w="1432" w:type="dxa"/>
            <w:shd w:val="clear" w:color="auto" w:fill="EBF1F9"/>
          </w:tcPr>
          <w:p w14:paraId="1A2E2505" w14:textId="02D22A29" w:rsidR="00FA4313" w:rsidRPr="00FA4313" w:rsidRDefault="00975EDC" w:rsidP="00FA4313">
            <w:pPr>
              <w:rPr>
                <w:sz w:val="20"/>
                <w:szCs w:val="20"/>
              </w:rPr>
            </w:pPr>
            <w:r>
              <w:rPr>
                <w:sz w:val="20"/>
                <w:szCs w:val="20"/>
              </w:rPr>
              <w:t>South Africa</w:t>
            </w:r>
          </w:p>
        </w:tc>
        <w:tc>
          <w:tcPr>
            <w:tcW w:w="2121" w:type="dxa"/>
            <w:gridSpan w:val="2"/>
            <w:shd w:val="clear" w:color="auto" w:fill="EBF1F9"/>
          </w:tcPr>
          <w:p w14:paraId="774F0136" w14:textId="6BFC5ECA" w:rsidR="00FA4313" w:rsidRPr="00FA4313" w:rsidRDefault="00975EDC" w:rsidP="00FA4313">
            <w:pPr>
              <w:rPr>
                <w:sz w:val="20"/>
                <w:szCs w:val="20"/>
              </w:rPr>
            </w:pPr>
            <w:r w:rsidRPr="00975EDC">
              <w:rPr>
                <w:sz w:val="20"/>
                <w:szCs w:val="20"/>
              </w:rPr>
              <w:t>https://orcid.org/0000-0001-7290-0313</w:t>
            </w:r>
          </w:p>
        </w:tc>
        <w:tc>
          <w:tcPr>
            <w:tcW w:w="1870" w:type="dxa"/>
            <w:shd w:val="clear" w:color="auto" w:fill="EBF1F9"/>
          </w:tcPr>
          <w:p w14:paraId="2CEE7100" w14:textId="77777777" w:rsidR="00FA4313" w:rsidRPr="00FA4313" w:rsidRDefault="00FA4313" w:rsidP="00FA4313">
            <w:pPr>
              <w:rPr>
                <w:sz w:val="20"/>
                <w:szCs w:val="20"/>
              </w:rPr>
            </w:pPr>
          </w:p>
        </w:tc>
      </w:tr>
      <w:tr w:rsidR="00FA4313" w:rsidRPr="00FA4313" w14:paraId="1D00CC61" w14:textId="77777777" w:rsidTr="00975EDC">
        <w:trPr>
          <w:trHeight w:val="252"/>
        </w:trPr>
        <w:tc>
          <w:tcPr>
            <w:tcW w:w="709" w:type="dxa"/>
          </w:tcPr>
          <w:p w14:paraId="73F43754" w14:textId="77777777" w:rsidR="00FA4313" w:rsidRPr="00FA4313" w:rsidRDefault="00FA4313" w:rsidP="00FA4313">
            <w:pPr>
              <w:rPr>
                <w:sz w:val="18"/>
                <w:szCs w:val="18"/>
              </w:rPr>
            </w:pPr>
            <w:r w:rsidRPr="00FA4313">
              <w:rPr>
                <w:sz w:val="18"/>
                <w:szCs w:val="18"/>
              </w:rPr>
              <w:t>2nd</w:t>
            </w:r>
          </w:p>
        </w:tc>
        <w:tc>
          <w:tcPr>
            <w:tcW w:w="2352" w:type="dxa"/>
            <w:shd w:val="clear" w:color="auto" w:fill="EBF1F9"/>
          </w:tcPr>
          <w:p w14:paraId="7AFB995B" w14:textId="0A89CB54" w:rsidR="00FA4313" w:rsidRPr="00FA4313" w:rsidRDefault="00975EDC" w:rsidP="00FA4313">
            <w:pPr>
              <w:rPr>
                <w:sz w:val="20"/>
                <w:szCs w:val="20"/>
              </w:rPr>
            </w:pPr>
            <w:r w:rsidRPr="00975EDC">
              <w:rPr>
                <w:sz w:val="20"/>
                <w:szCs w:val="20"/>
              </w:rPr>
              <w:t xml:space="preserve">Mihalis G. </w:t>
            </w:r>
            <w:proofErr w:type="spellStart"/>
            <w:r w:rsidRPr="00975EDC">
              <w:rPr>
                <w:sz w:val="20"/>
                <w:szCs w:val="20"/>
              </w:rPr>
              <w:t>Chasomeris</w:t>
            </w:r>
            <w:proofErr w:type="spellEnd"/>
          </w:p>
        </w:tc>
        <w:tc>
          <w:tcPr>
            <w:tcW w:w="1662" w:type="dxa"/>
            <w:shd w:val="clear" w:color="auto" w:fill="EBF1F9"/>
          </w:tcPr>
          <w:p w14:paraId="21374467" w14:textId="23F37C49" w:rsidR="00FA4313" w:rsidRPr="00FA4313" w:rsidRDefault="00975EDC" w:rsidP="00FA4313">
            <w:pPr>
              <w:rPr>
                <w:sz w:val="20"/>
                <w:szCs w:val="20"/>
              </w:rPr>
            </w:pPr>
            <w:r w:rsidRPr="00975EDC">
              <w:rPr>
                <w:sz w:val="20"/>
                <w:szCs w:val="20"/>
              </w:rPr>
              <w:t>Graduate School of Business and Leadership, University of KwaZulu-Natal, Durban</w:t>
            </w:r>
          </w:p>
        </w:tc>
        <w:tc>
          <w:tcPr>
            <w:tcW w:w="1432" w:type="dxa"/>
            <w:shd w:val="clear" w:color="auto" w:fill="EBF1F9"/>
          </w:tcPr>
          <w:p w14:paraId="6047DF22" w14:textId="07DCF74B" w:rsidR="00FA4313" w:rsidRPr="00FA4313" w:rsidRDefault="00975EDC" w:rsidP="00FA4313">
            <w:pPr>
              <w:rPr>
                <w:sz w:val="20"/>
                <w:szCs w:val="20"/>
              </w:rPr>
            </w:pPr>
            <w:r>
              <w:rPr>
                <w:sz w:val="20"/>
                <w:szCs w:val="20"/>
              </w:rPr>
              <w:t>South Africa</w:t>
            </w:r>
          </w:p>
        </w:tc>
        <w:tc>
          <w:tcPr>
            <w:tcW w:w="2121" w:type="dxa"/>
            <w:gridSpan w:val="2"/>
            <w:shd w:val="clear" w:color="auto" w:fill="EBF1F9"/>
          </w:tcPr>
          <w:p w14:paraId="404812A3" w14:textId="495E2350" w:rsidR="00FA4313" w:rsidRPr="00FA4313" w:rsidRDefault="00975EDC" w:rsidP="00FA4313">
            <w:pPr>
              <w:rPr>
                <w:sz w:val="20"/>
                <w:szCs w:val="20"/>
              </w:rPr>
            </w:pPr>
            <w:r w:rsidRPr="00975EDC">
              <w:rPr>
                <w:sz w:val="20"/>
                <w:szCs w:val="20"/>
              </w:rPr>
              <w:t>https://orcid.org/0000-0003-0920-7537</w:t>
            </w:r>
          </w:p>
        </w:tc>
        <w:tc>
          <w:tcPr>
            <w:tcW w:w="1870" w:type="dxa"/>
            <w:shd w:val="clear" w:color="auto" w:fill="EBF1F9"/>
          </w:tcPr>
          <w:p w14:paraId="27FFD7A6" w14:textId="77777777" w:rsidR="00FA4313" w:rsidRPr="00FA4313" w:rsidRDefault="00FA4313" w:rsidP="00FA4313">
            <w:pPr>
              <w:rPr>
                <w:sz w:val="20"/>
                <w:szCs w:val="20"/>
              </w:rPr>
            </w:pPr>
          </w:p>
        </w:tc>
      </w:tr>
      <w:tr w:rsidR="00FA4313" w:rsidRPr="00FA4313" w14:paraId="5260D48E" w14:textId="77777777" w:rsidTr="00975EDC">
        <w:trPr>
          <w:trHeight w:val="262"/>
        </w:trPr>
        <w:tc>
          <w:tcPr>
            <w:tcW w:w="10146" w:type="dxa"/>
            <w:gridSpan w:val="7"/>
            <w:shd w:val="clear" w:color="auto" w:fill="8A1E04"/>
          </w:tcPr>
          <w:p w14:paraId="0971C905" w14:textId="77777777" w:rsidR="00FA4313" w:rsidRPr="00FA4313" w:rsidRDefault="00FA4313" w:rsidP="00FA4313">
            <w:pPr>
              <w:rPr>
                <w:sz w:val="16"/>
                <w:szCs w:val="16"/>
              </w:rPr>
            </w:pPr>
            <w:r w:rsidRPr="00FA4313">
              <w:rPr>
                <w:sz w:val="16"/>
                <w:szCs w:val="16"/>
              </w:rPr>
              <w:t>† An ORCID is a persistent digital identifier that distinguishes you from every other researcher. For more information, see here: http://www.orcid.org</w:t>
            </w:r>
          </w:p>
          <w:p w14:paraId="6D3982EE" w14:textId="77777777" w:rsidR="00FA4313" w:rsidRPr="00FA4313" w:rsidRDefault="00FA4313" w:rsidP="00FA4313">
            <w:pPr>
              <w:rPr>
                <w:sz w:val="16"/>
                <w:szCs w:val="16"/>
              </w:rPr>
            </w:pPr>
            <w:r w:rsidRPr="00FA4313">
              <w:rPr>
                <w:sz w:val="16"/>
                <w:szCs w:val="16"/>
              </w:rPr>
              <w:t xml:space="preserve">* A twitter username is how you're identified on Twitter, and is always preceded immediately by the @ symbol. For instance, Katy Perry is @katyperry. For more information, see here: http://www.twitter.com </w:t>
            </w:r>
          </w:p>
        </w:tc>
      </w:tr>
      <w:tr w:rsidR="00FA4313" w:rsidRPr="00FA4313" w14:paraId="5C6CA9DB" w14:textId="77777777" w:rsidTr="00975EDC">
        <w:trPr>
          <w:trHeight w:val="93"/>
        </w:trPr>
        <w:tc>
          <w:tcPr>
            <w:tcW w:w="10146" w:type="dxa"/>
            <w:gridSpan w:val="7"/>
            <w:shd w:val="clear" w:color="auto" w:fill="71D300"/>
          </w:tcPr>
          <w:p w14:paraId="67C71B3C" w14:textId="77777777" w:rsidR="00FA4313" w:rsidRPr="00FA4313" w:rsidRDefault="00FA4313" w:rsidP="00FA4313">
            <w:pPr>
              <w:rPr>
                <w:sz w:val="16"/>
                <w:szCs w:val="16"/>
              </w:rPr>
            </w:pPr>
            <w:r w:rsidRPr="00FA4313">
              <w:rPr>
                <w:sz w:val="16"/>
                <w:szCs w:val="16"/>
              </w:rPr>
              <w:t>MANUSCRIPT MARKETING &amp; DISTRIBUTION</w:t>
            </w:r>
          </w:p>
        </w:tc>
      </w:tr>
      <w:tr w:rsidR="00FA4313" w:rsidRPr="00FA4313" w14:paraId="269A8328" w14:textId="77777777" w:rsidTr="00975EDC">
        <w:trPr>
          <w:trHeight w:val="166"/>
        </w:trPr>
        <w:tc>
          <w:tcPr>
            <w:tcW w:w="10146" w:type="dxa"/>
            <w:gridSpan w:val="7"/>
            <w:tcBorders>
              <w:top w:val="single" w:sz="4" w:space="0" w:color="auto"/>
              <w:left w:val="single" w:sz="4" w:space="0" w:color="auto"/>
            </w:tcBorders>
            <w:shd w:val="clear" w:color="auto" w:fill="8A1E04"/>
          </w:tcPr>
          <w:p w14:paraId="4FBD2753" w14:textId="77777777" w:rsidR="00FA4313" w:rsidRPr="00FA4313" w:rsidRDefault="00FA4313" w:rsidP="00FA4313">
            <w:pPr>
              <w:rPr>
                <w:sz w:val="16"/>
                <w:szCs w:val="16"/>
              </w:rPr>
            </w:pPr>
            <w:r w:rsidRPr="00FA4313">
              <w:rPr>
                <w:sz w:val="16"/>
                <w:szCs w:val="16"/>
              </w:rPr>
              <w:t>AOSIS requires the corresponding author to provide the following:</w:t>
            </w:r>
          </w:p>
        </w:tc>
      </w:tr>
      <w:tr w:rsidR="00FA4313" w:rsidRPr="00FA4313" w14:paraId="1CFF04CF" w14:textId="77777777" w:rsidTr="00975EDC">
        <w:trPr>
          <w:trHeight w:val="262"/>
        </w:trPr>
        <w:tc>
          <w:tcPr>
            <w:tcW w:w="4723" w:type="dxa"/>
            <w:gridSpan w:val="3"/>
            <w:tcBorders>
              <w:bottom w:val="single" w:sz="4" w:space="0" w:color="FFFFFF"/>
            </w:tcBorders>
            <w:shd w:val="clear" w:color="auto" w:fill="032351"/>
          </w:tcPr>
          <w:p w14:paraId="10A64D82" w14:textId="77777777" w:rsidR="00FA4313" w:rsidRPr="00FA4313" w:rsidRDefault="00FA4313" w:rsidP="00FA4313">
            <w:pPr>
              <w:rPr>
                <w:sz w:val="16"/>
                <w:szCs w:val="16"/>
              </w:rPr>
            </w:pPr>
            <w:r w:rsidRPr="00FA4313">
              <w:rPr>
                <w:sz w:val="16"/>
                <w:szCs w:val="16"/>
              </w:rPr>
              <w:t>Provide a shortened/news worthy manuscript title for twitter?</w:t>
            </w:r>
          </w:p>
          <w:p w14:paraId="56F81BA3" w14:textId="77777777" w:rsidR="00FA4313" w:rsidRPr="00FA4313" w:rsidRDefault="00FA4313" w:rsidP="00FA4313">
            <w:pPr>
              <w:rPr>
                <w:sz w:val="16"/>
                <w:szCs w:val="16"/>
              </w:rPr>
            </w:pPr>
            <w:r w:rsidRPr="00FA4313">
              <w:rPr>
                <w:sz w:val="16"/>
                <w:szCs w:val="16"/>
              </w:rPr>
              <w:t>Note: 101 characters with spacing</w:t>
            </w:r>
          </w:p>
        </w:tc>
        <w:tc>
          <w:tcPr>
            <w:tcW w:w="5423" w:type="dxa"/>
            <w:gridSpan w:val="4"/>
            <w:shd w:val="clear" w:color="auto" w:fill="EBF1F9"/>
          </w:tcPr>
          <w:p w14:paraId="07492AE3" w14:textId="77777777" w:rsidR="00FA4313" w:rsidRPr="00FA4313" w:rsidRDefault="00FA4313" w:rsidP="00FA4313">
            <w:pPr>
              <w:rPr>
                <w:sz w:val="20"/>
                <w:szCs w:val="20"/>
              </w:rPr>
            </w:pPr>
          </w:p>
        </w:tc>
      </w:tr>
      <w:tr w:rsidR="00FA4313" w:rsidRPr="00FA4313" w14:paraId="4648D2DC" w14:textId="77777777" w:rsidTr="00975EDC">
        <w:trPr>
          <w:trHeight w:val="262"/>
        </w:trPr>
        <w:tc>
          <w:tcPr>
            <w:tcW w:w="4723" w:type="dxa"/>
            <w:gridSpan w:val="3"/>
            <w:tcBorders>
              <w:top w:val="single" w:sz="4" w:space="0" w:color="FFFFFF"/>
              <w:bottom w:val="nil"/>
            </w:tcBorders>
            <w:shd w:val="clear" w:color="auto" w:fill="032351"/>
          </w:tcPr>
          <w:p w14:paraId="7E683178" w14:textId="77777777" w:rsidR="00FA4313" w:rsidRPr="00FA4313" w:rsidRDefault="00FA4313" w:rsidP="00FA4313">
            <w:pPr>
              <w:rPr>
                <w:sz w:val="16"/>
                <w:szCs w:val="16"/>
              </w:rPr>
            </w:pPr>
            <w:r w:rsidRPr="00FA4313">
              <w:rPr>
                <w:i/>
                <w:sz w:val="16"/>
                <w:szCs w:val="16"/>
              </w:rPr>
              <w:t>Optional</w:t>
            </w:r>
            <w:r w:rsidRPr="00FA4313">
              <w:rPr>
                <w:sz w:val="16"/>
                <w:szCs w:val="16"/>
              </w:rPr>
              <w:t>: Indicate whether there is a media item (photo/figure/table) within your manuscript which would be appropriate to accompany the manuscript media posting on twitter?</w:t>
            </w:r>
          </w:p>
        </w:tc>
        <w:tc>
          <w:tcPr>
            <w:tcW w:w="5423" w:type="dxa"/>
            <w:gridSpan w:val="4"/>
            <w:shd w:val="clear" w:color="auto" w:fill="EBF1F9"/>
          </w:tcPr>
          <w:p w14:paraId="7E3EB23D" w14:textId="77777777" w:rsidR="00FA4313" w:rsidRPr="00FA4313" w:rsidRDefault="00FA4313" w:rsidP="00FA4313">
            <w:pPr>
              <w:rPr>
                <w:sz w:val="20"/>
                <w:szCs w:val="20"/>
              </w:rPr>
            </w:pPr>
          </w:p>
        </w:tc>
      </w:tr>
      <w:tr w:rsidR="00FA4313" w:rsidRPr="00FA4313" w14:paraId="3DA221A0" w14:textId="77777777" w:rsidTr="00975EDC">
        <w:trPr>
          <w:trHeight w:val="262"/>
        </w:trPr>
        <w:tc>
          <w:tcPr>
            <w:tcW w:w="4723" w:type="dxa"/>
            <w:gridSpan w:val="3"/>
            <w:tcBorders>
              <w:top w:val="nil"/>
              <w:left w:val="nil"/>
              <w:bottom w:val="nil"/>
              <w:right w:val="nil"/>
            </w:tcBorders>
            <w:shd w:val="clear" w:color="auto" w:fill="FFFFFF"/>
          </w:tcPr>
          <w:p w14:paraId="72CE0FC5" w14:textId="77777777" w:rsidR="00FA4313" w:rsidRPr="00FA4313" w:rsidRDefault="00FA4313" w:rsidP="00FA4313">
            <w:pPr>
              <w:rPr>
                <w:sz w:val="16"/>
                <w:szCs w:val="16"/>
              </w:rPr>
            </w:pPr>
          </w:p>
        </w:tc>
        <w:tc>
          <w:tcPr>
            <w:tcW w:w="5423" w:type="dxa"/>
            <w:gridSpan w:val="4"/>
            <w:tcBorders>
              <w:left w:val="nil"/>
              <w:bottom w:val="single" w:sz="4" w:space="0" w:color="auto"/>
            </w:tcBorders>
            <w:shd w:val="clear" w:color="auto" w:fill="000000"/>
          </w:tcPr>
          <w:p w14:paraId="663FEE34" w14:textId="77777777" w:rsidR="00FA4313" w:rsidRPr="00FA4313" w:rsidRDefault="00FA4313" w:rsidP="00FA4313">
            <w:pPr>
              <w:rPr>
                <w:sz w:val="16"/>
                <w:szCs w:val="16"/>
              </w:rPr>
            </w:pPr>
            <w:r w:rsidRPr="00FA4313">
              <w:rPr>
                <w:sz w:val="18"/>
                <w:szCs w:val="18"/>
              </w:rPr>
              <w:t>FOR PUBLISHING OFFICE USE ONLY</w:t>
            </w:r>
          </w:p>
        </w:tc>
      </w:tr>
      <w:tr w:rsidR="00975EDC" w:rsidRPr="00FA4313" w14:paraId="491AC450" w14:textId="77777777" w:rsidTr="00975EDC">
        <w:trPr>
          <w:trHeight w:val="262"/>
        </w:trPr>
        <w:tc>
          <w:tcPr>
            <w:tcW w:w="4723" w:type="dxa"/>
            <w:gridSpan w:val="3"/>
            <w:tcBorders>
              <w:top w:val="nil"/>
              <w:left w:val="nil"/>
              <w:bottom w:val="nil"/>
              <w:right w:val="single" w:sz="4" w:space="0" w:color="auto"/>
            </w:tcBorders>
            <w:shd w:val="clear" w:color="auto" w:fill="FFFFFF"/>
          </w:tcPr>
          <w:p w14:paraId="0FF0BDB6"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21AAA6A4" w14:textId="77777777" w:rsidR="00FA4313" w:rsidRPr="00FA4313" w:rsidRDefault="00FA4313" w:rsidP="00FA4313">
            <w:pPr>
              <w:rPr>
                <w:sz w:val="18"/>
                <w:szCs w:val="18"/>
              </w:rPr>
            </w:pPr>
            <w:r w:rsidRPr="00FA4313">
              <w:rPr>
                <w:sz w:val="18"/>
                <w:szCs w:val="18"/>
              </w:rPr>
              <w:t>Allocated Journal Section</w:t>
            </w:r>
          </w:p>
        </w:tc>
        <w:tc>
          <w:tcPr>
            <w:tcW w:w="1870" w:type="dxa"/>
            <w:shd w:val="clear" w:color="auto" w:fill="F2F2F2"/>
          </w:tcPr>
          <w:p w14:paraId="2AC7ABE9" w14:textId="4D59574F" w:rsidR="00FA4313" w:rsidRPr="00FA4313" w:rsidRDefault="00975EDC" w:rsidP="00FA4313">
            <w:pPr>
              <w:rPr>
                <w:sz w:val="18"/>
                <w:szCs w:val="18"/>
              </w:rPr>
            </w:pPr>
            <w:r w:rsidRPr="00975EDC">
              <w:rPr>
                <w:sz w:val="18"/>
                <w:szCs w:val="18"/>
              </w:rPr>
              <w:t>Original Research - Special Collection: Impact of COVID-19 on the transport and logistics management</w:t>
            </w:r>
          </w:p>
        </w:tc>
      </w:tr>
      <w:tr w:rsidR="00975EDC" w:rsidRPr="00FA4313" w14:paraId="28F0F16F" w14:textId="77777777" w:rsidTr="00975EDC">
        <w:trPr>
          <w:trHeight w:val="262"/>
        </w:trPr>
        <w:tc>
          <w:tcPr>
            <w:tcW w:w="4723" w:type="dxa"/>
            <w:gridSpan w:val="3"/>
            <w:tcBorders>
              <w:top w:val="nil"/>
              <w:left w:val="nil"/>
              <w:bottom w:val="nil"/>
              <w:right w:val="single" w:sz="4" w:space="0" w:color="auto"/>
            </w:tcBorders>
            <w:shd w:val="clear" w:color="auto" w:fill="FFFFFF"/>
          </w:tcPr>
          <w:p w14:paraId="22EA1385"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08FBA2B9" w14:textId="77777777" w:rsidR="00FA4313" w:rsidRPr="00FA4313" w:rsidRDefault="00FA4313" w:rsidP="00FA4313">
            <w:pPr>
              <w:rPr>
                <w:sz w:val="18"/>
                <w:szCs w:val="18"/>
              </w:rPr>
            </w:pPr>
            <w:r w:rsidRPr="00FA4313">
              <w:rPr>
                <w:sz w:val="18"/>
                <w:szCs w:val="18"/>
              </w:rPr>
              <w:t>Date submitted YYYY-MM-DD</w:t>
            </w:r>
          </w:p>
        </w:tc>
        <w:tc>
          <w:tcPr>
            <w:tcW w:w="1870" w:type="dxa"/>
            <w:shd w:val="clear" w:color="auto" w:fill="F2F2F2"/>
          </w:tcPr>
          <w:p w14:paraId="389E38AC" w14:textId="7F1FC429" w:rsidR="00FA4313" w:rsidRPr="00FA4313" w:rsidRDefault="00975EDC" w:rsidP="00FA4313">
            <w:pPr>
              <w:rPr>
                <w:sz w:val="18"/>
                <w:szCs w:val="18"/>
              </w:rPr>
            </w:pPr>
            <w:r>
              <w:rPr>
                <w:sz w:val="18"/>
                <w:szCs w:val="18"/>
              </w:rPr>
              <w:t>2022-03-29</w:t>
            </w:r>
          </w:p>
        </w:tc>
      </w:tr>
      <w:tr w:rsidR="00975EDC" w:rsidRPr="00FA4313" w14:paraId="1B0B0984" w14:textId="77777777" w:rsidTr="00975EDC">
        <w:trPr>
          <w:trHeight w:val="262"/>
        </w:trPr>
        <w:tc>
          <w:tcPr>
            <w:tcW w:w="4723" w:type="dxa"/>
            <w:gridSpan w:val="3"/>
            <w:tcBorders>
              <w:top w:val="nil"/>
              <w:left w:val="nil"/>
              <w:bottom w:val="nil"/>
              <w:right w:val="single" w:sz="4" w:space="0" w:color="auto"/>
            </w:tcBorders>
            <w:shd w:val="clear" w:color="auto" w:fill="FFFFFF"/>
          </w:tcPr>
          <w:p w14:paraId="3E6AE5B9"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25FBBF1A" w14:textId="77777777" w:rsidR="00FA4313" w:rsidRPr="00FA4313" w:rsidRDefault="00FA4313" w:rsidP="00FA4313">
            <w:pPr>
              <w:rPr>
                <w:sz w:val="18"/>
                <w:szCs w:val="18"/>
              </w:rPr>
            </w:pPr>
            <w:r w:rsidRPr="00FA4313">
              <w:rPr>
                <w:sz w:val="18"/>
                <w:szCs w:val="18"/>
              </w:rPr>
              <w:t>Date accepted YYYY-MM-DD</w:t>
            </w:r>
          </w:p>
        </w:tc>
        <w:tc>
          <w:tcPr>
            <w:tcW w:w="1870" w:type="dxa"/>
            <w:shd w:val="clear" w:color="auto" w:fill="F2F2F2"/>
          </w:tcPr>
          <w:p w14:paraId="45DF1A91" w14:textId="31E7910D" w:rsidR="00FA4313" w:rsidRPr="00FA4313" w:rsidRDefault="00975EDC" w:rsidP="00FA4313">
            <w:pPr>
              <w:rPr>
                <w:sz w:val="18"/>
                <w:szCs w:val="18"/>
              </w:rPr>
            </w:pPr>
            <w:r>
              <w:rPr>
                <w:sz w:val="18"/>
                <w:szCs w:val="18"/>
              </w:rPr>
              <w:t>2022-05-17</w:t>
            </w:r>
          </w:p>
        </w:tc>
      </w:tr>
      <w:tr w:rsidR="00975EDC" w:rsidRPr="00FA4313" w14:paraId="1F95633A" w14:textId="77777777" w:rsidTr="00975EDC">
        <w:trPr>
          <w:trHeight w:val="262"/>
        </w:trPr>
        <w:tc>
          <w:tcPr>
            <w:tcW w:w="4723" w:type="dxa"/>
            <w:gridSpan w:val="3"/>
            <w:tcBorders>
              <w:top w:val="nil"/>
              <w:left w:val="nil"/>
              <w:bottom w:val="nil"/>
              <w:right w:val="single" w:sz="4" w:space="0" w:color="auto"/>
            </w:tcBorders>
            <w:shd w:val="clear" w:color="auto" w:fill="FFFFFF"/>
          </w:tcPr>
          <w:p w14:paraId="1178C275"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60C8AA24" w14:textId="77777777" w:rsidR="00FA4313" w:rsidRPr="00FA4313" w:rsidRDefault="00FA4313" w:rsidP="00FA4313">
            <w:pPr>
              <w:rPr>
                <w:sz w:val="18"/>
                <w:szCs w:val="18"/>
              </w:rPr>
            </w:pPr>
            <w:r w:rsidRPr="00FA4313">
              <w:rPr>
                <w:sz w:val="18"/>
                <w:szCs w:val="18"/>
              </w:rPr>
              <w:t>Any author change request during review</w:t>
            </w:r>
          </w:p>
        </w:tc>
        <w:tc>
          <w:tcPr>
            <w:tcW w:w="1870" w:type="dxa"/>
            <w:shd w:val="clear" w:color="auto" w:fill="F2F2F2"/>
          </w:tcPr>
          <w:p w14:paraId="0D34044B" w14:textId="35B92A0D" w:rsidR="00FA4313" w:rsidRPr="00FA4313" w:rsidRDefault="00FA4313" w:rsidP="00FA4313">
            <w:pPr>
              <w:rPr>
                <w:sz w:val="18"/>
                <w:szCs w:val="18"/>
              </w:rPr>
            </w:pPr>
            <w:sdt>
              <w:sdtPr>
                <w:rPr>
                  <w:sz w:val="18"/>
                  <w:szCs w:val="18"/>
                </w:rPr>
                <w:id w:val="525139623"/>
                <w14:checkbox>
                  <w14:checked w14:val="0"/>
                  <w14:checkedState w14:val="2612" w14:font="MS Gothic"/>
                  <w14:uncheckedState w14:val="2610" w14:font="MS Gothic"/>
                </w14:checkbox>
              </w:sdtPr>
              <w:sdtContent>
                <w:r w:rsidRPr="00FA4313">
                  <w:rPr>
                    <w:rFonts w:ascii="Segoe UI Symbol" w:hAnsi="Segoe UI Symbol" w:cs="Segoe UI Symbol"/>
                    <w:sz w:val="18"/>
                    <w:szCs w:val="18"/>
                  </w:rPr>
                  <w:t>☐</w:t>
                </w:r>
              </w:sdtContent>
            </w:sdt>
            <w:r w:rsidRPr="00FA4313">
              <w:rPr>
                <w:sz w:val="18"/>
                <w:szCs w:val="18"/>
              </w:rPr>
              <w:t xml:space="preserve"> Yes          </w:t>
            </w:r>
            <w:sdt>
              <w:sdtPr>
                <w:rPr>
                  <w:sz w:val="18"/>
                  <w:szCs w:val="18"/>
                </w:rPr>
                <w:id w:val="-950627573"/>
                <w14:checkbox>
                  <w14:checked w14:val="1"/>
                  <w14:checkedState w14:val="2612" w14:font="MS Gothic"/>
                  <w14:uncheckedState w14:val="2610" w14:font="MS Gothic"/>
                </w14:checkbox>
              </w:sdtPr>
              <w:sdtContent>
                <w:r w:rsidR="00975EDC">
                  <w:rPr>
                    <w:rFonts w:ascii="MS Gothic" w:eastAsia="MS Gothic" w:hAnsi="MS Gothic" w:hint="eastAsia"/>
                    <w:sz w:val="18"/>
                    <w:szCs w:val="18"/>
                  </w:rPr>
                  <w:t>☒</w:t>
                </w:r>
              </w:sdtContent>
            </w:sdt>
            <w:r w:rsidRPr="00FA4313">
              <w:rPr>
                <w:sz w:val="18"/>
                <w:szCs w:val="18"/>
              </w:rPr>
              <w:t xml:space="preserve">  No</w:t>
            </w:r>
          </w:p>
        </w:tc>
      </w:tr>
      <w:tr w:rsidR="00975EDC" w:rsidRPr="00FA4313" w14:paraId="4BE1255A" w14:textId="77777777" w:rsidTr="00975EDC">
        <w:trPr>
          <w:trHeight w:val="262"/>
        </w:trPr>
        <w:tc>
          <w:tcPr>
            <w:tcW w:w="4723" w:type="dxa"/>
            <w:gridSpan w:val="3"/>
            <w:tcBorders>
              <w:top w:val="nil"/>
              <w:left w:val="nil"/>
              <w:bottom w:val="nil"/>
              <w:right w:val="single" w:sz="4" w:space="0" w:color="auto"/>
            </w:tcBorders>
            <w:shd w:val="clear" w:color="auto" w:fill="FFFFFF"/>
          </w:tcPr>
          <w:p w14:paraId="410C6177"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1303F151" w14:textId="77777777" w:rsidR="00FA4313" w:rsidRPr="00FA4313" w:rsidRDefault="00FA4313" w:rsidP="00FA4313">
            <w:pPr>
              <w:rPr>
                <w:sz w:val="18"/>
                <w:szCs w:val="18"/>
              </w:rPr>
            </w:pPr>
            <w:r w:rsidRPr="00FA4313">
              <w:rPr>
                <w:sz w:val="18"/>
                <w:szCs w:val="18"/>
              </w:rPr>
              <w:t>No. of Figures</w:t>
            </w:r>
          </w:p>
        </w:tc>
        <w:tc>
          <w:tcPr>
            <w:tcW w:w="1870" w:type="dxa"/>
            <w:shd w:val="clear" w:color="auto" w:fill="F2F2F2"/>
          </w:tcPr>
          <w:p w14:paraId="194D7729" w14:textId="4C70A6DC" w:rsidR="00FA4313" w:rsidRPr="00FA4313" w:rsidRDefault="009B5901" w:rsidP="00FA4313">
            <w:pPr>
              <w:rPr>
                <w:sz w:val="18"/>
                <w:szCs w:val="18"/>
              </w:rPr>
            </w:pPr>
            <w:r>
              <w:rPr>
                <w:sz w:val="18"/>
                <w:szCs w:val="18"/>
              </w:rPr>
              <w:t>3</w:t>
            </w:r>
          </w:p>
        </w:tc>
      </w:tr>
      <w:tr w:rsidR="00975EDC" w:rsidRPr="00FA4313" w14:paraId="5C0A40D0" w14:textId="77777777" w:rsidTr="00975EDC">
        <w:trPr>
          <w:trHeight w:val="262"/>
        </w:trPr>
        <w:tc>
          <w:tcPr>
            <w:tcW w:w="4723" w:type="dxa"/>
            <w:gridSpan w:val="3"/>
            <w:tcBorders>
              <w:top w:val="nil"/>
              <w:left w:val="nil"/>
              <w:bottom w:val="nil"/>
              <w:right w:val="single" w:sz="4" w:space="0" w:color="auto"/>
            </w:tcBorders>
            <w:shd w:val="clear" w:color="auto" w:fill="FFFFFF"/>
          </w:tcPr>
          <w:p w14:paraId="1762D626"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45BE2B39" w14:textId="77777777" w:rsidR="00FA4313" w:rsidRPr="00FA4313" w:rsidRDefault="00FA4313" w:rsidP="00FA4313">
            <w:pPr>
              <w:rPr>
                <w:sz w:val="18"/>
                <w:szCs w:val="18"/>
              </w:rPr>
            </w:pPr>
            <w:r w:rsidRPr="00FA4313">
              <w:rPr>
                <w:sz w:val="18"/>
                <w:szCs w:val="18"/>
              </w:rPr>
              <w:t>No. of Tables</w:t>
            </w:r>
          </w:p>
        </w:tc>
        <w:tc>
          <w:tcPr>
            <w:tcW w:w="1870" w:type="dxa"/>
            <w:shd w:val="clear" w:color="auto" w:fill="F2F2F2"/>
          </w:tcPr>
          <w:p w14:paraId="2B8D051F" w14:textId="18BE1905" w:rsidR="00FA4313" w:rsidRPr="00FA4313" w:rsidRDefault="009B5901" w:rsidP="00FA4313">
            <w:pPr>
              <w:rPr>
                <w:sz w:val="18"/>
                <w:szCs w:val="18"/>
              </w:rPr>
            </w:pPr>
            <w:r>
              <w:rPr>
                <w:sz w:val="18"/>
                <w:szCs w:val="18"/>
              </w:rPr>
              <w:t>1</w:t>
            </w:r>
          </w:p>
        </w:tc>
      </w:tr>
      <w:tr w:rsidR="00975EDC" w:rsidRPr="00FA4313" w14:paraId="230E8AA7" w14:textId="77777777" w:rsidTr="00975EDC">
        <w:trPr>
          <w:trHeight w:val="262"/>
        </w:trPr>
        <w:tc>
          <w:tcPr>
            <w:tcW w:w="4723" w:type="dxa"/>
            <w:gridSpan w:val="3"/>
            <w:tcBorders>
              <w:top w:val="nil"/>
              <w:left w:val="nil"/>
              <w:bottom w:val="nil"/>
              <w:right w:val="single" w:sz="4" w:space="0" w:color="auto"/>
            </w:tcBorders>
            <w:shd w:val="clear" w:color="auto" w:fill="FFFFFF"/>
          </w:tcPr>
          <w:p w14:paraId="10656181" w14:textId="77777777" w:rsidR="00FA4313" w:rsidRPr="00FA4313" w:rsidRDefault="00FA4313" w:rsidP="00FA4313">
            <w:pPr>
              <w:rPr>
                <w:sz w:val="16"/>
                <w:szCs w:val="16"/>
              </w:rPr>
            </w:pPr>
          </w:p>
        </w:tc>
        <w:tc>
          <w:tcPr>
            <w:tcW w:w="3553" w:type="dxa"/>
            <w:gridSpan w:val="3"/>
            <w:tcBorders>
              <w:left w:val="single" w:sz="4" w:space="0" w:color="auto"/>
            </w:tcBorders>
            <w:shd w:val="clear" w:color="auto" w:fill="F2F2F2"/>
          </w:tcPr>
          <w:p w14:paraId="1C5A4198" w14:textId="77777777" w:rsidR="00FA4313" w:rsidRPr="00FA4313" w:rsidRDefault="00FA4313" w:rsidP="00FA4313">
            <w:pPr>
              <w:rPr>
                <w:sz w:val="18"/>
                <w:szCs w:val="18"/>
              </w:rPr>
            </w:pPr>
            <w:r w:rsidRPr="00FA4313">
              <w:rPr>
                <w:sz w:val="18"/>
                <w:szCs w:val="18"/>
              </w:rPr>
              <w:t>No. of Other</w:t>
            </w:r>
          </w:p>
        </w:tc>
        <w:tc>
          <w:tcPr>
            <w:tcW w:w="1870" w:type="dxa"/>
            <w:shd w:val="clear" w:color="auto" w:fill="F2F2F2"/>
          </w:tcPr>
          <w:p w14:paraId="4D9332BE" w14:textId="0A490AF5" w:rsidR="00FA4313" w:rsidRPr="00FA4313" w:rsidRDefault="009B5901" w:rsidP="00FA4313">
            <w:pPr>
              <w:rPr>
                <w:sz w:val="18"/>
                <w:szCs w:val="18"/>
              </w:rPr>
            </w:pPr>
            <w:r>
              <w:rPr>
                <w:sz w:val="18"/>
                <w:szCs w:val="18"/>
              </w:rPr>
              <w:t>1 EQA</w:t>
            </w:r>
          </w:p>
        </w:tc>
      </w:tr>
      <w:tr w:rsidR="00FA4313" w:rsidRPr="00FA4313" w14:paraId="1922D5E4" w14:textId="77777777" w:rsidTr="00975EDC">
        <w:trPr>
          <w:trHeight w:val="262"/>
        </w:trPr>
        <w:tc>
          <w:tcPr>
            <w:tcW w:w="4723" w:type="dxa"/>
            <w:gridSpan w:val="3"/>
            <w:tcBorders>
              <w:top w:val="nil"/>
              <w:left w:val="nil"/>
              <w:bottom w:val="nil"/>
              <w:right w:val="single" w:sz="4" w:space="0" w:color="auto"/>
            </w:tcBorders>
            <w:shd w:val="clear" w:color="auto" w:fill="FFFFFF"/>
          </w:tcPr>
          <w:p w14:paraId="7FE9E428" w14:textId="77777777" w:rsidR="00FA4313" w:rsidRPr="00FA4313" w:rsidRDefault="00FA4313" w:rsidP="00FA4313">
            <w:pPr>
              <w:rPr>
                <w:sz w:val="16"/>
                <w:szCs w:val="16"/>
              </w:rPr>
            </w:pPr>
          </w:p>
        </w:tc>
        <w:tc>
          <w:tcPr>
            <w:tcW w:w="5423" w:type="dxa"/>
            <w:gridSpan w:val="4"/>
            <w:tcBorders>
              <w:left w:val="single" w:sz="4" w:space="0" w:color="auto"/>
            </w:tcBorders>
            <w:shd w:val="clear" w:color="auto" w:fill="F2F2F2"/>
          </w:tcPr>
          <w:p w14:paraId="4AE2DB46" w14:textId="77777777" w:rsidR="00FA4313" w:rsidRPr="00FA4313" w:rsidRDefault="00FA4313" w:rsidP="00FA4313">
            <w:pPr>
              <w:rPr>
                <w:sz w:val="18"/>
                <w:szCs w:val="18"/>
              </w:rPr>
            </w:pPr>
            <w:r w:rsidRPr="00FA4313">
              <w:rPr>
                <w:sz w:val="18"/>
                <w:szCs w:val="18"/>
              </w:rPr>
              <w:t>Notes for production team:</w:t>
            </w:r>
          </w:p>
          <w:p w14:paraId="7C02F94C" w14:textId="77777777" w:rsidR="00FA4313" w:rsidRPr="00FA4313" w:rsidRDefault="00FA4313" w:rsidP="00FA4313">
            <w:pPr>
              <w:rPr>
                <w:sz w:val="18"/>
                <w:szCs w:val="18"/>
              </w:rPr>
            </w:pPr>
          </w:p>
        </w:tc>
      </w:tr>
    </w:tbl>
    <w:p w14:paraId="68745A47" w14:textId="77777777" w:rsidR="00FA4313" w:rsidRPr="00FA4313" w:rsidRDefault="00FA4313" w:rsidP="00FA4313">
      <w:pPr>
        <w:rPr>
          <w:rFonts w:eastAsia="Times New Roman"/>
          <w:b/>
          <w:sz w:val="24"/>
          <w:szCs w:val="24"/>
          <w:lang w:val="en-GB"/>
        </w:rPr>
      </w:pPr>
      <w:r w:rsidRPr="00FA4313">
        <w:rPr>
          <w:rFonts w:cs="Times New Roman"/>
          <w:sz w:val="16"/>
          <w:szCs w:val="16"/>
          <w:lang w:val="en-GB" w:eastAsia="en-US"/>
        </w:rPr>
        <w:t xml:space="preserve"> </w:t>
      </w:r>
    </w:p>
    <w:p w14:paraId="588CEE93" w14:textId="183C0561" w:rsidR="00481556" w:rsidRPr="00FA4313" w:rsidRDefault="00481556" w:rsidP="00FA4313">
      <w:pPr>
        <w:suppressLineNumbers/>
        <w:spacing w:after="0" w:line="240" w:lineRule="auto"/>
        <w:rPr>
          <w:rFonts w:ascii="Times New Roman" w:hAnsi="Times New Roman" w:cs="Times New Roman"/>
          <w:sz w:val="24"/>
          <w:szCs w:val="24"/>
        </w:rPr>
      </w:pPr>
    </w:p>
    <w:p w14:paraId="1AFCD680" w14:textId="77777777" w:rsidR="0015191F" w:rsidRPr="00FA4313" w:rsidRDefault="0015191F" w:rsidP="00FA4313">
      <w:pPr>
        <w:spacing w:after="0" w:line="240" w:lineRule="auto"/>
        <w:jc w:val="center"/>
        <w:rPr>
          <w:rFonts w:ascii="Times New Roman" w:hAnsi="Times New Roman" w:cs="Times New Roman"/>
          <w:b/>
          <w:sz w:val="24"/>
          <w:szCs w:val="24"/>
          <w:lang w:val="en-US"/>
        </w:rPr>
      </w:pPr>
    </w:p>
    <w:p w14:paraId="6AC0AA07" w14:textId="7BA36D86" w:rsidR="00E9220A" w:rsidRPr="00FA4313" w:rsidRDefault="00E9220A" w:rsidP="00FA4313">
      <w:pPr>
        <w:spacing w:after="0" w:line="240" w:lineRule="auto"/>
        <w:rPr>
          <w:rFonts w:ascii="Times New Roman" w:hAnsi="Times New Roman" w:cs="Times New Roman"/>
          <w:b/>
          <w:sz w:val="24"/>
          <w:szCs w:val="24"/>
        </w:rPr>
      </w:pPr>
    </w:p>
    <w:p w14:paraId="70537ABE" w14:textId="1B8F0366" w:rsidR="00975EDC" w:rsidRDefault="00975EDC">
      <w:pPr>
        <w:rPr>
          <w:rFonts w:ascii="Times New Roman" w:eastAsia="Verdana" w:hAnsi="Times New Roman" w:cs="Times New Roman"/>
          <w:color w:val="424242"/>
          <w:sz w:val="24"/>
          <w:szCs w:val="24"/>
        </w:rPr>
      </w:pPr>
      <w:r>
        <w:rPr>
          <w:rFonts w:ascii="Times New Roman" w:eastAsia="Verdana" w:hAnsi="Times New Roman" w:cs="Times New Roman"/>
          <w:color w:val="424242"/>
          <w:sz w:val="24"/>
          <w:szCs w:val="24"/>
        </w:rPr>
        <w:br w:type="page"/>
      </w:r>
    </w:p>
    <w:p w14:paraId="1F99D4C3" w14:textId="421995EF" w:rsidR="00E9220A" w:rsidRPr="00FA4313" w:rsidRDefault="00A656F0" w:rsidP="00FA4313">
      <w:pPr>
        <w:numPr>
          <w:ilvl w:val="0"/>
          <w:numId w:val="1"/>
        </w:numPr>
        <w:pBdr>
          <w:top w:val="nil"/>
          <w:left w:val="nil"/>
          <w:bottom w:val="nil"/>
          <w:right w:val="nil"/>
          <w:between w:val="nil"/>
        </w:pBdr>
        <w:spacing w:after="0" w:line="240" w:lineRule="auto"/>
        <w:ind w:left="284" w:hanging="284"/>
        <w:rPr>
          <w:rFonts w:ascii="Times New Roman" w:hAnsi="Times New Roman" w:cs="Times New Roman"/>
          <w:b/>
          <w:color w:val="000000"/>
          <w:sz w:val="24"/>
          <w:szCs w:val="24"/>
        </w:rPr>
      </w:pPr>
      <w:r w:rsidRPr="00FA4313">
        <w:rPr>
          <w:rFonts w:ascii="Times New Roman" w:hAnsi="Times New Roman" w:cs="Times New Roman"/>
          <w:b/>
          <w:color w:val="000000"/>
          <w:sz w:val="24"/>
          <w:szCs w:val="24"/>
        </w:rPr>
        <w:lastRenderedPageBreak/>
        <w:t>Introduction</w:t>
      </w:r>
    </w:p>
    <w:p w14:paraId="61B0437A" w14:textId="77777777" w:rsidR="00C81362" w:rsidRPr="00FA4313" w:rsidRDefault="00C81362" w:rsidP="00FA4313">
      <w:pPr>
        <w:pBdr>
          <w:top w:val="nil"/>
          <w:left w:val="nil"/>
          <w:bottom w:val="nil"/>
          <w:right w:val="nil"/>
          <w:between w:val="nil"/>
        </w:pBdr>
        <w:spacing w:after="0" w:line="240" w:lineRule="auto"/>
        <w:ind w:left="284"/>
        <w:rPr>
          <w:rFonts w:ascii="Times New Roman" w:hAnsi="Times New Roman" w:cs="Times New Roman"/>
          <w:b/>
          <w:color w:val="000000"/>
          <w:sz w:val="24"/>
          <w:szCs w:val="24"/>
        </w:rPr>
      </w:pPr>
    </w:p>
    <w:p w14:paraId="3FAFC4B6" w14:textId="6554D8BB"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The COVID-19 pandemic </w:t>
      </w:r>
      <w:r w:rsidR="00D4741E" w:rsidRPr="00FA4313">
        <w:rPr>
          <w:rFonts w:ascii="Times New Roman" w:hAnsi="Times New Roman" w:cs="Times New Roman"/>
          <w:sz w:val="24"/>
          <w:szCs w:val="24"/>
        </w:rPr>
        <w:t xml:space="preserve">has </w:t>
      </w:r>
      <w:r w:rsidRPr="00FA4313">
        <w:rPr>
          <w:rFonts w:ascii="Times New Roman" w:hAnsi="Times New Roman" w:cs="Times New Roman"/>
          <w:sz w:val="24"/>
          <w:szCs w:val="24"/>
        </w:rPr>
        <w:t xml:space="preserve">created fundamental challenges for the global economy. Global GDP showed a severe decline in 2020, which was especially felt by developed economies (United Nations, 2020). The World Bank (2022) predicts global </w:t>
      </w:r>
      <w:r w:rsidR="00AB286E" w:rsidRPr="00FA4313">
        <w:rPr>
          <w:rFonts w:ascii="Times New Roman" w:hAnsi="Times New Roman" w:cs="Times New Roman"/>
          <w:sz w:val="24"/>
          <w:szCs w:val="24"/>
        </w:rPr>
        <w:t xml:space="preserve">economic </w:t>
      </w:r>
      <w:r w:rsidRPr="00FA4313">
        <w:rPr>
          <w:rFonts w:ascii="Times New Roman" w:hAnsi="Times New Roman" w:cs="Times New Roman"/>
          <w:sz w:val="24"/>
          <w:szCs w:val="24"/>
        </w:rPr>
        <w:t>growth to decelerate to 4.1 percent in 2022, reflecting continued COVID19 flare-ups, reduced fiscal support, and continuous supply bottlenecks. Emerging economies are experiencing weaker recoveries as a result of sl</w:t>
      </w:r>
      <w:r w:rsidR="00AB286E" w:rsidRPr="00FA4313">
        <w:rPr>
          <w:rFonts w:ascii="Times New Roman" w:hAnsi="Times New Roman" w:cs="Times New Roman"/>
          <w:sz w:val="24"/>
          <w:szCs w:val="24"/>
        </w:rPr>
        <w:t>ow vaccination progress and</w:t>
      </w:r>
      <w:r w:rsidRPr="00FA4313">
        <w:rPr>
          <w:rFonts w:ascii="Times New Roman" w:hAnsi="Times New Roman" w:cs="Times New Roman"/>
          <w:sz w:val="24"/>
          <w:szCs w:val="24"/>
        </w:rPr>
        <w:t xml:space="preserve"> limited policy responses.</w:t>
      </w:r>
    </w:p>
    <w:p w14:paraId="551A4738" w14:textId="406A5FB5" w:rsidR="00E9220A" w:rsidRPr="00FA4313" w:rsidRDefault="00A656F0" w:rsidP="00FA4313">
      <w:pPr>
        <w:spacing w:after="0" w:line="240" w:lineRule="auto"/>
        <w:jc w:val="both"/>
        <w:rPr>
          <w:rFonts w:ascii="Times New Roman" w:hAnsi="Times New Roman" w:cs="Times New Roman"/>
          <w:color w:val="222222"/>
          <w:sz w:val="24"/>
          <w:szCs w:val="24"/>
        </w:rPr>
      </w:pPr>
      <w:r w:rsidRPr="00FA4313">
        <w:rPr>
          <w:rFonts w:ascii="Times New Roman" w:hAnsi="Times New Roman" w:cs="Times New Roman"/>
          <w:sz w:val="24"/>
          <w:szCs w:val="24"/>
        </w:rPr>
        <w:t>Global trade also decreased significantly, and foreign direct investment (FDI) followed suit. As a result, the situation highlighted severe vulnerabilities in global supply chains, many of which were not prepared for the unexpected disruptions (</w:t>
      </w:r>
      <w:proofErr w:type="spellStart"/>
      <w:r w:rsidRPr="00FA4313">
        <w:rPr>
          <w:rFonts w:ascii="Times New Roman" w:hAnsi="Times New Roman" w:cs="Times New Roman"/>
          <w:color w:val="222222"/>
          <w:sz w:val="24"/>
          <w:szCs w:val="24"/>
          <w:highlight w:val="white"/>
        </w:rPr>
        <w:t>Veselovská</w:t>
      </w:r>
      <w:proofErr w:type="spellEnd"/>
      <w:r w:rsidRPr="00FA4313">
        <w:rPr>
          <w:rFonts w:ascii="Times New Roman" w:hAnsi="Times New Roman" w:cs="Times New Roman"/>
          <w:color w:val="222222"/>
          <w:sz w:val="24"/>
          <w:szCs w:val="24"/>
          <w:highlight w:val="white"/>
        </w:rPr>
        <w:t>, 2020).</w:t>
      </w:r>
    </w:p>
    <w:p w14:paraId="6C2B05A9" w14:textId="34A39AAE"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color w:val="222222"/>
          <w:sz w:val="24"/>
          <w:szCs w:val="24"/>
          <w:highlight w:val="white"/>
        </w:rPr>
        <w:t>Supply chains are sensitive to high-impact events, which can cause various levels of decline in consumption, trade and transportation (</w:t>
      </w:r>
      <w:proofErr w:type="spellStart"/>
      <w:r w:rsidRPr="00FA4313">
        <w:rPr>
          <w:rFonts w:ascii="Times New Roman" w:hAnsi="Times New Roman" w:cs="Times New Roman"/>
          <w:color w:val="222222"/>
          <w:sz w:val="24"/>
          <w:szCs w:val="24"/>
          <w:highlight w:val="white"/>
        </w:rPr>
        <w:t>Notteboom</w:t>
      </w:r>
      <w:proofErr w:type="spellEnd"/>
      <w:r w:rsidRPr="00FA4313">
        <w:rPr>
          <w:rFonts w:ascii="Times New Roman" w:hAnsi="Times New Roman" w:cs="Times New Roman"/>
          <w:color w:val="222222"/>
          <w:sz w:val="24"/>
          <w:szCs w:val="24"/>
          <w:highlight w:val="white"/>
        </w:rPr>
        <w:t xml:space="preserve"> et al, 2021). Consumption patterns during such events are affected by a loss of spending capacity by consumers, which in turn cause firms to experience a decline in demand and a parallel reduction in inventory levels. </w:t>
      </w:r>
      <w:r w:rsidRPr="00FA4313">
        <w:rPr>
          <w:rFonts w:ascii="Times New Roman" w:hAnsi="Times New Roman" w:cs="Times New Roman"/>
          <w:sz w:val="24"/>
          <w:szCs w:val="24"/>
        </w:rPr>
        <w:t xml:space="preserve">Bottlenecks through supply chains globally </w:t>
      </w:r>
      <w:r w:rsidR="00D4741E" w:rsidRPr="00FA4313">
        <w:rPr>
          <w:rFonts w:ascii="Times New Roman" w:hAnsi="Times New Roman" w:cs="Times New Roman"/>
          <w:sz w:val="24"/>
          <w:szCs w:val="24"/>
        </w:rPr>
        <w:t xml:space="preserve">has </w:t>
      </w:r>
      <w:r w:rsidRPr="00FA4313">
        <w:rPr>
          <w:rFonts w:ascii="Times New Roman" w:hAnsi="Times New Roman" w:cs="Times New Roman"/>
          <w:sz w:val="24"/>
          <w:szCs w:val="24"/>
        </w:rPr>
        <w:t>led to a surge in order backlogs and record-high shipping prices (World Bank, 2022). Significant pro</w:t>
      </w:r>
      <w:r w:rsidR="00AB286E" w:rsidRPr="00FA4313">
        <w:rPr>
          <w:rFonts w:ascii="Times New Roman" w:hAnsi="Times New Roman" w:cs="Times New Roman"/>
          <w:sz w:val="24"/>
          <w:szCs w:val="24"/>
        </w:rPr>
        <w:t>duction problems occurred in most</w:t>
      </w:r>
      <w:r w:rsidRPr="00FA4313">
        <w:rPr>
          <w:rFonts w:ascii="Times New Roman" w:hAnsi="Times New Roman" w:cs="Times New Roman"/>
          <w:sz w:val="24"/>
          <w:szCs w:val="24"/>
        </w:rPr>
        <w:t xml:space="preserve"> Asian countries and were amplified as other regions struggled to acquire sufficient industrial inputs for manufacturing (Baldwin and Freeman, 2020). </w:t>
      </w:r>
    </w:p>
    <w:p w14:paraId="498507D3" w14:textId="14AE3221"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These events </w:t>
      </w:r>
      <w:r w:rsidR="00D4741E" w:rsidRPr="00FA4313">
        <w:rPr>
          <w:rFonts w:ascii="Times New Roman" w:hAnsi="Times New Roman" w:cs="Times New Roman"/>
          <w:color w:val="222222"/>
          <w:sz w:val="24"/>
          <w:szCs w:val="24"/>
          <w:highlight w:val="white"/>
        </w:rPr>
        <w:t xml:space="preserve">caused </w:t>
      </w:r>
      <w:r w:rsidRPr="00FA4313">
        <w:rPr>
          <w:rFonts w:ascii="Times New Roman" w:hAnsi="Times New Roman" w:cs="Times New Roman"/>
          <w:color w:val="222222"/>
          <w:sz w:val="24"/>
          <w:szCs w:val="24"/>
          <w:highlight w:val="white"/>
        </w:rPr>
        <w:t>unprecedented impacts on the port and shipping industries</w:t>
      </w:r>
      <w:r w:rsidR="00D4741E" w:rsidRPr="00FA4313">
        <w:rPr>
          <w:rFonts w:ascii="Times New Roman" w:hAnsi="Times New Roman" w:cs="Times New Roman"/>
          <w:color w:val="222222"/>
          <w:sz w:val="24"/>
          <w:szCs w:val="24"/>
          <w:highlight w:val="white"/>
        </w:rPr>
        <w:t xml:space="preserve"> specifically</w:t>
      </w:r>
      <w:r w:rsidRPr="00FA4313">
        <w:rPr>
          <w:rFonts w:ascii="Times New Roman" w:hAnsi="Times New Roman" w:cs="Times New Roman"/>
          <w:color w:val="222222"/>
          <w:sz w:val="24"/>
          <w:szCs w:val="24"/>
          <w:highlight w:val="white"/>
        </w:rPr>
        <w:t xml:space="preserve"> (</w:t>
      </w:r>
      <w:proofErr w:type="spellStart"/>
      <w:r w:rsidRPr="00FA4313">
        <w:rPr>
          <w:rFonts w:ascii="Times New Roman" w:hAnsi="Times New Roman" w:cs="Times New Roman"/>
          <w:color w:val="222222"/>
          <w:sz w:val="24"/>
          <w:szCs w:val="24"/>
          <w:highlight w:val="white"/>
        </w:rPr>
        <w:t>Notteboom</w:t>
      </w:r>
      <w:proofErr w:type="spellEnd"/>
      <w:r w:rsidRPr="00FA4313">
        <w:rPr>
          <w:rFonts w:ascii="Times New Roman" w:hAnsi="Times New Roman" w:cs="Times New Roman"/>
          <w:color w:val="222222"/>
          <w:sz w:val="24"/>
          <w:szCs w:val="24"/>
          <w:highlight w:val="white"/>
        </w:rPr>
        <w:t>, Pallis and Rodrigues, 2021). Global supply chains are underpinned by maritime transport, with shipping estimated to handle over 80% of global goods trade (UNCTAD, 2021a). Developing countries are heavily dependent on maritime transport for access to global markets. In the first 24 weeks of 2020</w:t>
      </w:r>
      <w:r w:rsidR="00D4741E" w:rsidRPr="00FA4313">
        <w:rPr>
          <w:rFonts w:ascii="Times New Roman" w:hAnsi="Times New Roman" w:cs="Times New Roman"/>
          <w:color w:val="222222"/>
          <w:sz w:val="24"/>
          <w:szCs w:val="24"/>
          <w:highlight w:val="white"/>
        </w:rPr>
        <w:t xml:space="preserve"> alone</w:t>
      </w:r>
      <w:r w:rsidRPr="00FA4313">
        <w:rPr>
          <w:rFonts w:ascii="Times New Roman" w:hAnsi="Times New Roman" w:cs="Times New Roman"/>
          <w:color w:val="222222"/>
          <w:sz w:val="24"/>
          <w:szCs w:val="24"/>
          <w:highlight w:val="white"/>
        </w:rPr>
        <w:t>, global ship calls declined by 8.7%, and when countries started to impose economic and social restrictions,</w:t>
      </w:r>
      <w:r w:rsidR="00D4741E" w:rsidRPr="00FA4313">
        <w:rPr>
          <w:rFonts w:ascii="Times New Roman" w:hAnsi="Times New Roman" w:cs="Times New Roman"/>
          <w:color w:val="222222"/>
          <w:sz w:val="24"/>
          <w:szCs w:val="24"/>
          <w:highlight w:val="white"/>
        </w:rPr>
        <w:t xml:space="preserve"> and</w:t>
      </w:r>
      <w:r w:rsidRPr="00FA4313">
        <w:rPr>
          <w:rFonts w:ascii="Times New Roman" w:hAnsi="Times New Roman" w:cs="Times New Roman"/>
          <w:color w:val="222222"/>
          <w:sz w:val="24"/>
          <w:szCs w:val="24"/>
          <w:highlight w:val="white"/>
        </w:rPr>
        <w:t xml:space="preserve"> the number of ship calls fell by up to 20%. </w:t>
      </w:r>
    </w:p>
    <w:p w14:paraId="0F8A04FE" w14:textId="6E972B41"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For South Africa the impact was equally devastating, and it was exacerbated by a set of other events before and after the COVID-19 pandemic outbreak. Before the pandemic, South Africa already found itself in an economic recession and increasing unemployment levels (</w:t>
      </w:r>
      <w:proofErr w:type="spellStart"/>
      <w:r w:rsidRPr="00FA4313">
        <w:rPr>
          <w:rFonts w:ascii="Times New Roman" w:hAnsi="Times New Roman" w:cs="Times New Roman"/>
          <w:color w:val="222222"/>
          <w:sz w:val="24"/>
          <w:szCs w:val="24"/>
          <w:highlight w:val="white"/>
        </w:rPr>
        <w:t>Makokera</w:t>
      </w:r>
      <w:proofErr w:type="spellEnd"/>
      <w:r w:rsidRPr="00FA4313">
        <w:rPr>
          <w:rFonts w:ascii="Times New Roman" w:hAnsi="Times New Roman" w:cs="Times New Roman"/>
          <w:color w:val="222222"/>
          <w:sz w:val="24"/>
          <w:szCs w:val="24"/>
          <w:highlight w:val="white"/>
        </w:rPr>
        <w:t xml:space="preserve"> &amp; </w:t>
      </w:r>
      <w:proofErr w:type="spellStart"/>
      <w:r w:rsidRPr="00FA4313">
        <w:rPr>
          <w:rFonts w:ascii="Times New Roman" w:hAnsi="Times New Roman" w:cs="Times New Roman"/>
          <w:color w:val="222222"/>
          <w:sz w:val="24"/>
          <w:szCs w:val="24"/>
          <w:highlight w:val="white"/>
        </w:rPr>
        <w:t>Makokera</w:t>
      </w:r>
      <w:proofErr w:type="spellEnd"/>
      <w:r w:rsidRPr="00FA4313">
        <w:rPr>
          <w:rFonts w:ascii="Times New Roman" w:hAnsi="Times New Roman" w:cs="Times New Roman"/>
          <w:color w:val="222222"/>
          <w:sz w:val="24"/>
          <w:szCs w:val="24"/>
          <w:highlight w:val="white"/>
        </w:rPr>
        <w:t>, 2020). The World Bank Global Economic Prospects report (World Bank, 2022) estimated a GDP growth rate of 4.6% for South Africa during 2021, and a forecasted growth rate of only 2.1% in 2022. Persistent unemployment, inequality, rising government debt and structural impediments to growth are predicted to continue having a significant impact on the country’s recovery.</w:t>
      </w:r>
    </w:p>
    <w:p w14:paraId="3CEE47DC" w14:textId="13A77112"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During COVID-19, the shipping industries in South Africa were hit equally hard. UNCTAD (2021a) </w:t>
      </w:r>
      <w:r w:rsidR="00D4741E" w:rsidRPr="00FA4313">
        <w:rPr>
          <w:rFonts w:ascii="Times New Roman" w:hAnsi="Times New Roman" w:cs="Times New Roman"/>
          <w:color w:val="222222"/>
          <w:sz w:val="24"/>
          <w:szCs w:val="24"/>
          <w:highlight w:val="white"/>
        </w:rPr>
        <w:t>reported that</w:t>
      </w:r>
      <w:r w:rsidRPr="00FA4313">
        <w:rPr>
          <w:rFonts w:ascii="Times New Roman" w:hAnsi="Times New Roman" w:cs="Times New Roman"/>
          <w:color w:val="222222"/>
          <w:sz w:val="24"/>
          <w:szCs w:val="24"/>
          <w:highlight w:val="white"/>
        </w:rPr>
        <w:t xml:space="preserve"> the ship calls to port </w:t>
      </w:r>
      <w:r w:rsidR="00D4741E" w:rsidRPr="00FA4313">
        <w:rPr>
          <w:rFonts w:ascii="Times New Roman" w:hAnsi="Times New Roman" w:cs="Times New Roman"/>
          <w:color w:val="222222"/>
          <w:sz w:val="24"/>
          <w:szCs w:val="24"/>
          <w:highlight w:val="white"/>
        </w:rPr>
        <w:t xml:space="preserve">in 2020 </w:t>
      </w:r>
      <w:r w:rsidRPr="00FA4313">
        <w:rPr>
          <w:rFonts w:ascii="Times New Roman" w:hAnsi="Times New Roman" w:cs="Times New Roman"/>
          <w:color w:val="222222"/>
          <w:sz w:val="24"/>
          <w:szCs w:val="24"/>
          <w:highlight w:val="white"/>
        </w:rPr>
        <w:t xml:space="preserve">declined by 9.7% in Sub-Saharan Africa. For the </w:t>
      </w:r>
      <w:r w:rsidR="00CB102E" w:rsidRPr="00FA4313">
        <w:rPr>
          <w:rFonts w:ascii="Times New Roman" w:hAnsi="Times New Roman" w:cs="Times New Roman"/>
          <w:color w:val="222222"/>
          <w:sz w:val="24"/>
          <w:szCs w:val="24"/>
          <w:highlight w:val="white"/>
        </w:rPr>
        <w:t>P</w:t>
      </w:r>
      <w:r w:rsidRPr="00FA4313">
        <w:rPr>
          <w:rFonts w:ascii="Times New Roman" w:hAnsi="Times New Roman" w:cs="Times New Roman"/>
          <w:color w:val="222222"/>
          <w:sz w:val="24"/>
          <w:szCs w:val="24"/>
          <w:highlight w:val="white"/>
        </w:rPr>
        <w:t xml:space="preserve">ort of </w:t>
      </w:r>
      <w:r w:rsidR="00AB286E" w:rsidRPr="00FA4313">
        <w:rPr>
          <w:rFonts w:ascii="Times New Roman" w:hAnsi="Times New Roman" w:cs="Times New Roman"/>
          <w:color w:val="222222"/>
          <w:sz w:val="24"/>
          <w:szCs w:val="24"/>
          <w:highlight w:val="white"/>
        </w:rPr>
        <w:t>Durban,</w:t>
      </w:r>
      <w:r w:rsidRPr="00FA4313">
        <w:rPr>
          <w:rFonts w:ascii="Times New Roman" w:hAnsi="Times New Roman" w:cs="Times New Roman"/>
          <w:color w:val="222222"/>
          <w:sz w:val="24"/>
          <w:szCs w:val="24"/>
          <w:highlight w:val="white"/>
        </w:rPr>
        <w:t xml:space="preserve"> a 6.6% drop in ship carrying capacity in the first quarter of 2020</w:t>
      </w:r>
      <w:r w:rsidR="00D4741E" w:rsidRPr="00FA4313">
        <w:rPr>
          <w:rFonts w:ascii="Times New Roman" w:hAnsi="Times New Roman" w:cs="Times New Roman"/>
          <w:color w:val="222222"/>
          <w:sz w:val="24"/>
          <w:szCs w:val="24"/>
          <w:highlight w:val="white"/>
        </w:rPr>
        <w:t xml:space="preserve"> was reported, and in </w:t>
      </w:r>
      <w:r w:rsidRPr="00FA4313">
        <w:rPr>
          <w:rFonts w:ascii="Times New Roman" w:hAnsi="Times New Roman" w:cs="Times New Roman"/>
          <w:color w:val="222222"/>
          <w:sz w:val="24"/>
          <w:szCs w:val="24"/>
          <w:highlight w:val="white"/>
        </w:rPr>
        <w:t xml:space="preserve">the second quarter, the port lost 5% of liner shipping services, 6.2% of ship calls and 2.8% of the deployed capacity. </w:t>
      </w:r>
    </w:p>
    <w:p w14:paraId="1C47969F" w14:textId="12E8204A"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South </w:t>
      </w:r>
      <w:r w:rsidR="00AB286E" w:rsidRPr="00FA4313">
        <w:rPr>
          <w:rFonts w:ascii="Times New Roman" w:hAnsi="Times New Roman" w:cs="Times New Roman"/>
          <w:color w:val="222222"/>
          <w:sz w:val="24"/>
          <w:szCs w:val="24"/>
          <w:highlight w:val="white"/>
        </w:rPr>
        <w:t xml:space="preserve">Africa </w:t>
      </w:r>
      <w:r w:rsidR="00D4741E" w:rsidRPr="00FA4313">
        <w:rPr>
          <w:rFonts w:ascii="Times New Roman" w:hAnsi="Times New Roman" w:cs="Times New Roman"/>
          <w:color w:val="222222"/>
          <w:sz w:val="24"/>
          <w:szCs w:val="24"/>
          <w:highlight w:val="white"/>
        </w:rPr>
        <w:t>then also faced other significant events</w:t>
      </w:r>
      <w:r w:rsidRPr="00FA4313">
        <w:rPr>
          <w:rFonts w:ascii="Times New Roman" w:hAnsi="Times New Roman" w:cs="Times New Roman"/>
          <w:color w:val="222222"/>
          <w:sz w:val="24"/>
          <w:szCs w:val="24"/>
          <w:highlight w:val="white"/>
        </w:rPr>
        <w:t xml:space="preserve">. The World Bank (2021) ranked the South African ports in the bottom five of the world’s 351 competent container handling facilities in 2021. The </w:t>
      </w:r>
      <w:r w:rsidR="00CB102E" w:rsidRPr="00FA4313">
        <w:rPr>
          <w:rFonts w:ascii="Times New Roman" w:hAnsi="Times New Roman" w:cs="Times New Roman"/>
          <w:color w:val="222222"/>
          <w:sz w:val="24"/>
          <w:szCs w:val="24"/>
          <w:highlight w:val="white"/>
        </w:rPr>
        <w:t>P</w:t>
      </w:r>
      <w:r w:rsidRPr="00FA4313">
        <w:rPr>
          <w:rFonts w:ascii="Times New Roman" w:hAnsi="Times New Roman" w:cs="Times New Roman"/>
          <w:color w:val="222222"/>
          <w:sz w:val="24"/>
          <w:szCs w:val="24"/>
          <w:highlight w:val="white"/>
        </w:rPr>
        <w:t xml:space="preserve">ort of Durban was ranked position 349, Ngqura ranked </w:t>
      </w:r>
      <w:r w:rsidR="00D4741E" w:rsidRPr="00FA4313">
        <w:rPr>
          <w:rFonts w:ascii="Times New Roman" w:hAnsi="Times New Roman" w:cs="Times New Roman"/>
          <w:color w:val="222222"/>
          <w:sz w:val="24"/>
          <w:szCs w:val="24"/>
          <w:highlight w:val="white"/>
        </w:rPr>
        <w:t xml:space="preserve">at </w:t>
      </w:r>
      <w:r w:rsidRPr="00FA4313">
        <w:rPr>
          <w:rFonts w:ascii="Times New Roman" w:hAnsi="Times New Roman" w:cs="Times New Roman"/>
          <w:color w:val="222222"/>
          <w:sz w:val="24"/>
          <w:szCs w:val="24"/>
          <w:highlight w:val="white"/>
        </w:rPr>
        <w:t xml:space="preserve">position 351, Port Elizabeth ranked </w:t>
      </w:r>
      <w:r w:rsidR="00D4741E" w:rsidRPr="00FA4313">
        <w:rPr>
          <w:rFonts w:ascii="Times New Roman" w:hAnsi="Times New Roman" w:cs="Times New Roman"/>
          <w:color w:val="222222"/>
          <w:sz w:val="24"/>
          <w:szCs w:val="24"/>
          <w:highlight w:val="white"/>
        </w:rPr>
        <w:t xml:space="preserve">at </w:t>
      </w:r>
      <w:r w:rsidRPr="00FA4313">
        <w:rPr>
          <w:rFonts w:ascii="Times New Roman" w:hAnsi="Times New Roman" w:cs="Times New Roman"/>
          <w:color w:val="222222"/>
          <w:sz w:val="24"/>
          <w:szCs w:val="24"/>
          <w:highlight w:val="white"/>
        </w:rPr>
        <w:t xml:space="preserve">position 348 and Cape Town ranked </w:t>
      </w:r>
      <w:r w:rsidR="00D4741E" w:rsidRPr="00FA4313">
        <w:rPr>
          <w:rFonts w:ascii="Times New Roman" w:hAnsi="Times New Roman" w:cs="Times New Roman"/>
          <w:color w:val="222222"/>
          <w:sz w:val="24"/>
          <w:szCs w:val="24"/>
          <w:highlight w:val="white"/>
        </w:rPr>
        <w:t xml:space="preserve">at </w:t>
      </w:r>
      <w:r w:rsidRPr="00FA4313">
        <w:rPr>
          <w:rFonts w:ascii="Times New Roman" w:hAnsi="Times New Roman" w:cs="Times New Roman"/>
          <w:color w:val="222222"/>
          <w:sz w:val="24"/>
          <w:szCs w:val="24"/>
          <w:highlight w:val="white"/>
        </w:rPr>
        <w:t>position 347</w:t>
      </w:r>
      <w:r w:rsidR="00AB286E" w:rsidRPr="00FA4313">
        <w:rPr>
          <w:rFonts w:ascii="Times New Roman" w:hAnsi="Times New Roman" w:cs="Times New Roman"/>
          <w:color w:val="222222"/>
          <w:sz w:val="24"/>
          <w:szCs w:val="24"/>
          <w:highlight w:val="white"/>
        </w:rPr>
        <w:t>. Th</w:t>
      </w:r>
      <w:r w:rsidR="00D4741E" w:rsidRPr="00FA4313">
        <w:rPr>
          <w:rFonts w:ascii="Times New Roman" w:hAnsi="Times New Roman" w:cs="Times New Roman"/>
          <w:color w:val="222222"/>
          <w:sz w:val="24"/>
          <w:szCs w:val="24"/>
          <w:highlight w:val="white"/>
        </w:rPr>
        <w:t>is ranking reflects</w:t>
      </w:r>
      <w:r w:rsidR="00AB286E" w:rsidRPr="00FA4313">
        <w:rPr>
          <w:rFonts w:ascii="Times New Roman" w:hAnsi="Times New Roman" w:cs="Times New Roman"/>
          <w:color w:val="222222"/>
          <w:sz w:val="24"/>
          <w:szCs w:val="24"/>
          <w:highlight w:val="white"/>
        </w:rPr>
        <w:t xml:space="preserve"> </w:t>
      </w:r>
      <w:r w:rsidRPr="00FA4313">
        <w:rPr>
          <w:rFonts w:ascii="Times New Roman" w:hAnsi="Times New Roman" w:cs="Times New Roman"/>
          <w:color w:val="222222"/>
          <w:sz w:val="24"/>
          <w:szCs w:val="24"/>
          <w:highlight w:val="white"/>
        </w:rPr>
        <w:t>poor port performance and productivity, which puts into question the ability of South Africa’s ports to remain competitive, especially with the additional pressures of the COVID-19 pandemic.</w:t>
      </w:r>
    </w:p>
    <w:p w14:paraId="016A011F" w14:textId="2240832C" w:rsidR="00285B45" w:rsidRPr="00FA4313" w:rsidRDefault="00D4741E" w:rsidP="00FA4313">
      <w:pPr>
        <w:spacing w:after="0" w:line="240" w:lineRule="auto"/>
        <w:jc w:val="both"/>
        <w:rPr>
          <w:rFonts w:ascii="Times New Roman" w:hAnsi="Times New Roman" w:cs="Times New Roman"/>
          <w:color w:val="222222"/>
          <w:sz w:val="24"/>
          <w:szCs w:val="24"/>
        </w:rPr>
      </w:pPr>
      <w:r w:rsidRPr="00FA4313">
        <w:rPr>
          <w:rFonts w:ascii="Times New Roman" w:hAnsi="Times New Roman" w:cs="Times New Roman"/>
          <w:color w:val="222222"/>
          <w:sz w:val="24"/>
          <w:szCs w:val="24"/>
        </w:rPr>
        <w:t xml:space="preserve">The National Ports Authority (NPA) are the single landlord for South Africa’s eight commercial ports. </w:t>
      </w:r>
      <w:r w:rsidR="00285B45" w:rsidRPr="00FA4313">
        <w:rPr>
          <w:rFonts w:ascii="Times New Roman" w:hAnsi="Times New Roman" w:cs="Times New Roman"/>
          <w:color w:val="222222"/>
          <w:sz w:val="24"/>
          <w:szCs w:val="24"/>
        </w:rPr>
        <w:t xml:space="preserve">The NPA provides the port infrastructure and marine services. The NPA is regulated by the Ports Regulator of South Africa (PRSA). </w:t>
      </w:r>
      <w:r w:rsidR="00DF4656" w:rsidRPr="00FA4313">
        <w:rPr>
          <w:rFonts w:ascii="Times New Roman" w:hAnsi="Times New Roman" w:cs="Times New Roman"/>
          <w:color w:val="222222"/>
          <w:sz w:val="24"/>
          <w:szCs w:val="24"/>
        </w:rPr>
        <w:t>The NPA</w:t>
      </w:r>
      <w:r w:rsidR="00285B45" w:rsidRPr="00FA4313">
        <w:rPr>
          <w:rFonts w:ascii="Times New Roman" w:hAnsi="Times New Roman" w:cs="Times New Roman"/>
          <w:color w:val="222222"/>
          <w:sz w:val="24"/>
          <w:szCs w:val="24"/>
        </w:rPr>
        <w:t xml:space="preserve"> is a division within Transnet SOC Ltd., a state-owned logistics company. The NPA Act 2005 stated that the NPA should be incorporated as a subsidiary of Transnet, nevertheless, the NPA remains a division of Transnet.</w:t>
      </w:r>
    </w:p>
    <w:p w14:paraId="5AB9ADF2" w14:textId="11EA60CC" w:rsidR="00EE6203" w:rsidRPr="00FA4313" w:rsidRDefault="00BB527C" w:rsidP="00FA4313">
      <w:pPr>
        <w:spacing w:after="0" w:line="240" w:lineRule="auto"/>
        <w:jc w:val="both"/>
        <w:rPr>
          <w:rFonts w:ascii="Times New Roman" w:hAnsi="Times New Roman" w:cs="Times New Roman"/>
          <w:color w:val="222222"/>
          <w:sz w:val="24"/>
          <w:szCs w:val="24"/>
        </w:rPr>
      </w:pPr>
      <w:r w:rsidRPr="00FA4313">
        <w:rPr>
          <w:rFonts w:ascii="Times New Roman" w:hAnsi="Times New Roman" w:cs="Times New Roman"/>
          <w:color w:val="222222"/>
          <w:sz w:val="24"/>
          <w:szCs w:val="24"/>
        </w:rPr>
        <w:t xml:space="preserve">Other contentious issues surrounding port pricing and a lack of infrastructure investments also occurred (Meyiwa and </w:t>
      </w:r>
      <w:proofErr w:type="spellStart"/>
      <w:r w:rsidRPr="00FA4313">
        <w:rPr>
          <w:rFonts w:ascii="Times New Roman" w:hAnsi="Times New Roman" w:cs="Times New Roman"/>
          <w:color w:val="222222"/>
          <w:sz w:val="24"/>
          <w:szCs w:val="24"/>
        </w:rPr>
        <w:t>Chasomeris</w:t>
      </w:r>
      <w:proofErr w:type="spellEnd"/>
      <w:r w:rsidRPr="00FA4313">
        <w:rPr>
          <w:rFonts w:ascii="Times New Roman" w:hAnsi="Times New Roman" w:cs="Times New Roman"/>
          <w:color w:val="222222"/>
          <w:sz w:val="24"/>
          <w:szCs w:val="24"/>
        </w:rPr>
        <w:t xml:space="preserve">, 2020). </w:t>
      </w:r>
      <w:proofErr w:type="spellStart"/>
      <w:r w:rsidRPr="00FA4313">
        <w:rPr>
          <w:rFonts w:ascii="Times New Roman" w:hAnsi="Times New Roman" w:cs="Times New Roman"/>
          <w:color w:val="222222"/>
          <w:sz w:val="24"/>
          <w:szCs w:val="24"/>
        </w:rPr>
        <w:t>Chasomeris</w:t>
      </w:r>
      <w:proofErr w:type="spellEnd"/>
      <w:r w:rsidRPr="00FA4313">
        <w:rPr>
          <w:rFonts w:ascii="Times New Roman" w:hAnsi="Times New Roman" w:cs="Times New Roman"/>
          <w:color w:val="222222"/>
          <w:sz w:val="24"/>
          <w:szCs w:val="24"/>
        </w:rPr>
        <w:t xml:space="preserve"> and Gumede (2022) note that the NPA annual profit before tax increased 155% from R2.9 billion in 2017 to more than R7.4 billion in 2019. Over the same period, the </w:t>
      </w:r>
      <w:r w:rsidR="00955B9D" w:rsidRPr="00FA4313">
        <w:rPr>
          <w:rFonts w:ascii="Times New Roman" w:hAnsi="Times New Roman" w:cs="Times New Roman"/>
          <w:color w:val="222222"/>
          <w:sz w:val="24"/>
          <w:szCs w:val="24"/>
        </w:rPr>
        <w:t>PRSA</w:t>
      </w:r>
      <w:r w:rsidRPr="00FA4313">
        <w:rPr>
          <w:rFonts w:ascii="Times New Roman" w:hAnsi="Times New Roman" w:cs="Times New Roman"/>
          <w:color w:val="222222"/>
          <w:sz w:val="24"/>
          <w:szCs w:val="24"/>
        </w:rPr>
        <w:t xml:space="preserve"> granted an increase in planned capital expenditure (investment) from R4.1 billion to R5.4 billion. Actual capital expenditure, however, declined 55% from just over R2 billion to R905 million. In 2019/20 there was some increase in actual spend to R1.598 billion. </w:t>
      </w:r>
      <w:r w:rsidR="007834EF" w:rsidRPr="00FA4313">
        <w:rPr>
          <w:rFonts w:ascii="Times New Roman" w:hAnsi="Times New Roman" w:cs="Times New Roman"/>
          <w:color w:val="222222"/>
          <w:sz w:val="24"/>
          <w:szCs w:val="24"/>
        </w:rPr>
        <w:t>However, t</w:t>
      </w:r>
      <w:r w:rsidRPr="00FA4313">
        <w:rPr>
          <w:rFonts w:ascii="Times New Roman" w:hAnsi="Times New Roman" w:cs="Times New Roman"/>
          <w:color w:val="222222"/>
          <w:sz w:val="24"/>
          <w:szCs w:val="24"/>
        </w:rPr>
        <w:t xml:space="preserve">he impact of COVID-19 may partly be seen in the significant decline in investment spending to R684 million in 2020/21. TNPA (2021) explain that </w:t>
      </w:r>
      <w:r w:rsidR="000D756F" w:rsidRPr="00FA4313">
        <w:rPr>
          <w:rFonts w:ascii="Times New Roman" w:hAnsi="Times New Roman" w:cs="Times New Roman"/>
          <w:color w:val="222222"/>
          <w:sz w:val="24"/>
          <w:szCs w:val="24"/>
        </w:rPr>
        <w:t>this</w:t>
      </w:r>
      <w:r w:rsidR="00FD4906" w:rsidRPr="00FA4313">
        <w:rPr>
          <w:rFonts w:ascii="Times New Roman" w:hAnsi="Times New Roman" w:cs="Times New Roman"/>
          <w:color w:val="222222"/>
          <w:sz w:val="24"/>
          <w:szCs w:val="24"/>
        </w:rPr>
        <w:t xml:space="preserve"> reduced investment </w:t>
      </w:r>
      <w:r w:rsidRPr="00FA4313">
        <w:rPr>
          <w:rFonts w:ascii="Times New Roman" w:hAnsi="Times New Roman" w:cs="Times New Roman"/>
          <w:color w:val="222222"/>
          <w:sz w:val="24"/>
          <w:szCs w:val="24"/>
        </w:rPr>
        <w:t>was largely due to the COVID-19 pandemic and the lockdowns impact on economic activity.</w:t>
      </w:r>
    </w:p>
    <w:p w14:paraId="679034A5" w14:textId="77777777" w:rsidR="00C81362" w:rsidRPr="00FA4313" w:rsidRDefault="00C81362" w:rsidP="00FA4313">
      <w:pPr>
        <w:spacing w:after="0" w:line="240" w:lineRule="auto"/>
        <w:jc w:val="both"/>
        <w:rPr>
          <w:rFonts w:ascii="Times New Roman" w:hAnsi="Times New Roman" w:cs="Times New Roman"/>
          <w:color w:val="222222"/>
          <w:sz w:val="24"/>
          <w:szCs w:val="24"/>
        </w:rPr>
      </w:pPr>
    </w:p>
    <w:p w14:paraId="2052F2C9" w14:textId="7E549DDE" w:rsidR="00E9220A" w:rsidRPr="00FA4313" w:rsidRDefault="00A656F0" w:rsidP="00FA4313">
      <w:pPr>
        <w:spacing w:after="0" w:line="240" w:lineRule="auto"/>
        <w:jc w:val="both"/>
        <w:rPr>
          <w:rFonts w:ascii="Times New Roman" w:hAnsi="Times New Roman" w:cs="Times New Roman"/>
          <w:color w:val="222222"/>
          <w:sz w:val="24"/>
          <w:szCs w:val="24"/>
          <w:highlight w:val="white"/>
        </w:rPr>
      </w:pPr>
      <w:bookmarkStart w:id="0" w:name="_heading=h.gjdgxs" w:colFirst="0" w:colLast="0"/>
      <w:bookmarkEnd w:id="0"/>
      <w:r w:rsidRPr="00FA4313">
        <w:rPr>
          <w:rFonts w:ascii="Times New Roman" w:hAnsi="Times New Roman" w:cs="Times New Roman"/>
          <w:color w:val="222222"/>
          <w:sz w:val="24"/>
          <w:szCs w:val="24"/>
          <w:highlight w:val="white"/>
        </w:rPr>
        <w:t xml:space="preserve">South Africa was further affected by extreme riots in Kwa-Zulu Natal province in July 2021, </w:t>
      </w:r>
      <w:r w:rsidR="00AB286E" w:rsidRPr="00FA4313">
        <w:rPr>
          <w:rFonts w:ascii="Times New Roman" w:hAnsi="Times New Roman" w:cs="Times New Roman"/>
          <w:color w:val="222222"/>
          <w:sz w:val="24"/>
          <w:szCs w:val="24"/>
          <w:highlight w:val="white"/>
        </w:rPr>
        <w:t>and</w:t>
      </w:r>
      <w:r w:rsidRPr="00FA4313">
        <w:rPr>
          <w:rFonts w:ascii="Times New Roman" w:hAnsi="Times New Roman" w:cs="Times New Roman"/>
          <w:color w:val="222222"/>
          <w:sz w:val="24"/>
          <w:szCs w:val="24"/>
          <w:highlight w:val="white"/>
        </w:rPr>
        <w:t xml:space="preserve"> cyber-attacks on Transnet in the same period where the Transnet information technology system was hacked (Smith, 2021). These events </w:t>
      </w:r>
      <w:r w:rsidR="00EE6203" w:rsidRPr="00FA4313">
        <w:rPr>
          <w:rFonts w:ascii="Times New Roman" w:hAnsi="Times New Roman" w:cs="Times New Roman"/>
          <w:color w:val="222222"/>
          <w:sz w:val="24"/>
          <w:szCs w:val="24"/>
          <w:highlight w:val="white"/>
        </w:rPr>
        <w:t xml:space="preserve">further </w:t>
      </w:r>
      <w:r w:rsidRPr="00FA4313">
        <w:rPr>
          <w:rFonts w:ascii="Times New Roman" w:hAnsi="Times New Roman" w:cs="Times New Roman"/>
          <w:color w:val="222222"/>
          <w:sz w:val="24"/>
          <w:szCs w:val="24"/>
          <w:highlight w:val="white"/>
        </w:rPr>
        <w:t>exposed the vulnerability of South Africa’s ports.</w:t>
      </w:r>
    </w:p>
    <w:p w14:paraId="2938CE1B" w14:textId="399907FF" w:rsidR="00EE6203" w:rsidRPr="00FA4313" w:rsidRDefault="00EE6203"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This study aims to analyse the impact of COVID-19 trade disruptions, and shows the adverse effects of the pandemic, including higher liner freight rates, tariff applications for higher National Port Authority tariffs, and reduced CAPEX investment in port infrastructure by the National Ports Authority.</w:t>
      </w:r>
    </w:p>
    <w:p w14:paraId="0347A76C" w14:textId="77777777" w:rsidR="002A6A55" w:rsidRPr="00FA4313" w:rsidRDefault="006B3985" w:rsidP="00FA4313">
      <w:pPr>
        <w:spacing w:after="0" w:line="240" w:lineRule="auto"/>
        <w:jc w:val="both"/>
        <w:rPr>
          <w:rFonts w:ascii="Times New Roman" w:hAnsi="Times New Roman" w:cs="Times New Roman"/>
          <w:sz w:val="24"/>
          <w:szCs w:val="24"/>
        </w:rPr>
      </w:pPr>
      <w:bookmarkStart w:id="1" w:name="_Hlk99370299"/>
      <w:r w:rsidRPr="00FA4313">
        <w:rPr>
          <w:rFonts w:ascii="Times New Roman" w:hAnsi="Times New Roman" w:cs="Times New Roman"/>
          <w:sz w:val="24"/>
          <w:szCs w:val="24"/>
        </w:rPr>
        <w:t>The PRSA (2021) benchmarking study shows that South Africa’s port authority charges are 69% above the global benchmarked mean and that cargo dues are 166% above the mean. The NPA and PRSA use a rate of return model</w:t>
      </w:r>
      <w:r w:rsidR="00AB286E" w:rsidRPr="00FA4313">
        <w:rPr>
          <w:rFonts w:ascii="Times New Roman" w:hAnsi="Times New Roman" w:cs="Times New Roman"/>
          <w:sz w:val="24"/>
          <w:szCs w:val="24"/>
        </w:rPr>
        <w:t>, known as</w:t>
      </w:r>
      <w:r w:rsidRPr="00FA4313">
        <w:rPr>
          <w:rFonts w:ascii="Times New Roman" w:hAnsi="Times New Roman" w:cs="Times New Roman"/>
          <w:sz w:val="24"/>
          <w:szCs w:val="24"/>
        </w:rPr>
        <w:t xml:space="preserve"> the Revenue Required (RR) model</w:t>
      </w:r>
      <w:r w:rsidR="00AB286E" w:rsidRPr="00FA4313">
        <w:rPr>
          <w:rFonts w:ascii="Times New Roman" w:hAnsi="Times New Roman" w:cs="Times New Roman"/>
          <w:sz w:val="24"/>
          <w:szCs w:val="24"/>
        </w:rPr>
        <w:t>,</w:t>
      </w:r>
      <w:r w:rsidRPr="00FA4313">
        <w:rPr>
          <w:rFonts w:ascii="Times New Roman" w:hAnsi="Times New Roman" w:cs="Times New Roman"/>
          <w:sz w:val="24"/>
          <w:szCs w:val="24"/>
        </w:rPr>
        <w:t xml:space="preserve"> to calculate annual revenues and the annual port authority tariff adjustments. </w:t>
      </w:r>
      <w:r w:rsidR="00613A74" w:rsidRPr="00FA4313">
        <w:rPr>
          <w:rFonts w:ascii="Times New Roman" w:hAnsi="Times New Roman" w:cs="Times New Roman"/>
          <w:sz w:val="24"/>
          <w:szCs w:val="24"/>
        </w:rPr>
        <w:t>The value of several components of the RR model applied by the NPA are contested by port users and stakeholders (</w:t>
      </w:r>
      <w:proofErr w:type="spellStart"/>
      <w:r w:rsidR="00613A74" w:rsidRPr="00FA4313">
        <w:rPr>
          <w:rFonts w:ascii="Times New Roman" w:hAnsi="Times New Roman" w:cs="Times New Roman"/>
          <w:sz w:val="24"/>
          <w:szCs w:val="24"/>
        </w:rPr>
        <w:t>Chasomeris</w:t>
      </w:r>
      <w:proofErr w:type="spellEnd"/>
      <w:r w:rsidR="00613A74" w:rsidRPr="00FA4313">
        <w:rPr>
          <w:rFonts w:ascii="Times New Roman" w:hAnsi="Times New Roman" w:cs="Times New Roman"/>
          <w:sz w:val="24"/>
          <w:szCs w:val="24"/>
        </w:rPr>
        <w:t xml:space="preserve"> 2015; Gumede and </w:t>
      </w:r>
      <w:proofErr w:type="spellStart"/>
      <w:r w:rsidR="00613A74" w:rsidRPr="00FA4313">
        <w:rPr>
          <w:rFonts w:ascii="Times New Roman" w:hAnsi="Times New Roman" w:cs="Times New Roman"/>
          <w:sz w:val="24"/>
          <w:szCs w:val="24"/>
        </w:rPr>
        <w:t>Chasomeris</w:t>
      </w:r>
      <w:proofErr w:type="spellEnd"/>
      <w:r w:rsidR="00613A74" w:rsidRPr="00FA4313">
        <w:rPr>
          <w:rFonts w:ascii="Times New Roman" w:hAnsi="Times New Roman" w:cs="Times New Roman"/>
          <w:sz w:val="24"/>
          <w:szCs w:val="24"/>
        </w:rPr>
        <w:t xml:space="preserve"> 2017; Meyiwa and </w:t>
      </w:r>
      <w:proofErr w:type="spellStart"/>
      <w:r w:rsidR="00613A74" w:rsidRPr="00FA4313">
        <w:rPr>
          <w:rFonts w:ascii="Times New Roman" w:hAnsi="Times New Roman" w:cs="Times New Roman"/>
          <w:sz w:val="24"/>
          <w:szCs w:val="24"/>
        </w:rPr>
        <w:t>Chasomeris</w:t>
      </w:r>
      <w:proofErr w:type="spellEnd"/>
      <w:r w:rsidR="00613A74" w:rsidRPr="00FA4313">
        <w:rPr>
          <w:rFonts w:ascii="Times New Roman" w:hAnsi="Times New Roman" w:cs="Times New Roman"/>
          <w:sz w:val="24"/>
          <w:szCs w:val="24"/>
        </w:rPr>
        <w:t xml:space="preserve"> 2020). T</w:t>
      </w:r>
      <w:r w:rsidRPr="00FA4313">
        <w:rPr>
          <w:rFonts w:ascii="Times New Roman" w:hAnsi="Times New Roman" w:cs="Times New Roman"/>
          <w:sz w:val="24"/>
          <w:szCs w:val="24"/>
        </w:rPr>
        <w:t>his study calculates evidence-based adjustments to the RR model variable</w:t>
      </w:r>
      <w:r w:rsidR="00FB0DBD" w:rsidRPr="00FA4313">
        <w:rPr>
          <w:rFonts w:ascii="Times New Roman" w:hAnsi="Times New Roman" w:cs="Times New Roman"/>
          <w:sz w:val="24"/>
          <w:szCs w:val="24"/>
        </w:rPr>
        <w:t>s</w:t>
      </w:r>
      <w:r w:rsidRPr="00FA4313">
        <w:rPr>
          <w:rFonts w:ascii="Times New Roman" w:hAnsi="Times New Roman" w:cs="Times New Roman"/>
          <w:sz w:val="24"/>
          <w:szCs w:val="24"/>
        </w:rPr>
        <w:t xml:space="preserve"> and s</w:t>
      </w:r>
      <w:r w:rsidR="00613A74" w:rsidRPr="00FA4313">
        <w:rPr>
          <w:rFonts w:ascii="Times New Roman" w:hAnsi="Times New Roman" w:cs="Times New Roman"/>
          <w:sz w:val="24"/>
          <w:szCs w:val="24"/>
        </w:rPr>
        <w:t xml:space="preserve">hows the results </w:t>
      </w:r>
      <w:r w:rsidRPr="00FA4313">
        <w:rPr>
          <w:rFonts w:ascii="Times New Roman" w:hAnsi="Times New Roman" w:cs="Times New Roman"/>
          <w:sz w:val="24"/>
          <w:szCs w:val="24"/>
        </w:rPr>
        <w:t xml:space="preserve">under </w:t>
      </w:r>
      <w:r w:rsidR="00613A74" w:rsidRPr="00FA4313">
        <w:rPr>
          <w:rFonts w:ascii="Times New Roman" w:hAnsi="Times New Roman" w:cs="Times New Roman"/>
          <w:sz w:val="24"/>
          <w:szCs w:val="24"/>
        </w:rPr>
        <w:t>five distinct scenarios.</w:t>
      </w:r>
      <w:r w:rsidRPr="00FA4313">
        <w:rPr>
          <w:rFonts w:ascii="Times New Roman" w:hAnsi="Times New Roman" w:cs="Times New Roman"/>
          <w:sz w:val="24"/>
          <w:szCs w:val="24"/>
        </w:rPr>
        <w:t xml:space="preserve"> </w:t>
      </w:r>
      <w:r w:rsidR="00FF3A83" w:rsidRPr="00FA4313">
        <w:rPr>
          <w:rFonts w:ascii="Times New Roman" w:hAnsi="Times New Roman" w:cs="Times New Roman"/>
          <w:sz w:val="24"/>
          <w:szCs w:val="24"/>
        </w:rPr>
        <w:t xml:space="preserve">Such results will show that there is a potential to reduce NPA weighted average tariffs by as much as 20%. </w:t>
      </w:r>
    </w:p>
    <w:bookmarkEnd w:id="1"/>
    <w:p w14:paraId="6EEE83E4" w14:textId="77777777" w:rsidR="00E9220A" w:rsidRPr="00FA4313" w:rsidRDefault="00E9220A" w:rsidP="00FA4313">
      <w:pPr>
        <w:spacing w:after="0" w:line="240" w:lineRule="auto"/>
        <w:jc w:val="both"/>
        <w:rPr>
          <w:rFonts w:ascii="Times New Roman" w:hAnsi="Times New Roman" w:cs="Times New Roman"/>
          <w:color w:val="FF0000"/>
          <w:sz w:val="24"/>
          <w:szCs w:val="24"/>
        </w:rPr>
      </w:pPr>
    </w:p>
    <w:p w14:paraId="4F46C1BC" w14:textId="40D96480" w:rsidR="00E9220A" w:rsidRPr="00FA4313" w:rsidRDefault="00A656F0" w:rsidP="00FA4313">
      <w:pPr>
        <w:numPr>
          <w:ilvl w:val="0"/>
          <w:numId w:val="1"/>
        </w:numPr>
        <w:pBdr>
          <w:top w:val="nil"/>
          <w:left w:val="nil"/>
          <w:bottom w:val="nil"/>
          <w:right w:val="nil"/>
          <w:between w:val="nil"/>
        </w:pBdr>
        <w:spacing w:after="0" w:line="240" w:lineRule="auto"/>
        <w:ind w:left="284" w:hanging="284"/>
        <w:rPr>
          <w:rFonts w:ascii="Times New Roman" w:hAnsi="Times New Roman" w:cs="Times New Roman"/>
          <w:b/>
          <w:color w:val="000000"/>
          <w:sz w:val="24"/>
          <w:szCs w:val="24"/>
        </w:rPr>
      </w:pPr>
      <w:r w:rsidRPr="00FA4313">
        <w:rPr>
          <w:rFonts w:ascii="Times New Roman" w:hAnsi="Times New Roman" w:cs="Times New Roman"/>
          <w:b/>
          <w:color w:val="000000"/>
          <w:sz w:val="24"/>
          <w:szCs w:val="24"/>
        </w:rPr>
        <w:t>Global impact of COVID-19 on the ports and shipping industry:</w:t>
      </w:r>
    </w:p>
    <w:p w14:paraId="6EF14961" w14:textId="77777777" w:rsidR="00C81362" w:rsidRPr="00FA4313" w:rsidRDefault="00C81362" w:rsidP="00FA4313">
      <w:pPr>
        <w:pBdr>
          <w:top w:val="nil"/>
          <w:left w:val="nil"/>
          <w:bottom w:val="nil"/>
          <w:right w:val="nil"/>
          <w:between w:val="nil"/>
        </w:pBdr>
        <w:spacing w:after="0" w:line="240" w:lineRule="auto"/>
        <w:ind w:left="284"/>
        <w:rPr>
          <w:rFonts w:ascii="Times New Roman" w:hAnsi="Times New Roman" w:cs="Times New Roman"/>
          <w:b/>
          <w:color w:val="000000"/>
          <w:sz w:val="24"/>
          <w:szCs w:val="24"/>
        </w:rPr>
      </w:pPr>
    </w:p>
    <w:p w14:paraId="07F39DE5" w14:textId="7C35435C"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Ferry </w:t>
      </w:r>
      <w:r w:rsidRPr="00FA4313">
        <w:rPr>
          <w:rFonts w:ascii="Times New Roman" w:hAnsi="Times New Roman" w:cs="Times New Roman"/>
          <w:color w:val="222222"/>
          <w:sz w:val="24"/>
          <w:szCs w:val="24"/>
          <w:highlight w:val="white"/>
        </w:rPr>
        <w:t xml:space="preserve">services and the cruise industry were the two shipping industries that were impacted the most by the pandemic, since they are most closely linked to personal mobility and cross-border movements, especially in the EU region (Cullinane &amp; </w:t>
      </w:r>
      <w:proofErr w:type="spellStart"/>
      <w:r w:rsidRPr="00FA4313">
        <w:rPr>
          <w:rFonts w:ascii="Times New Roman" w:hAnsi="Times New Roman" w:cs="Times New Roman"/>
          <w:color w:val="222222"/>
          <w:sz w:val="24"/>
          <w:szCs w:val="24"/>
          <w:highlight w:val="white"/>
        </w:rPr>
        <w:t>Haralambides</w:t>
      </w:r>
      <w:proofErr w:type="spellEnd"/>
      <w:r w:rsidRPr="00FA4313">
        <w:rPr>
          <w:rFonts w:ascii="Times New Roman" w:hAnsi="Times New Roman" w:cs="Times New Roman"/>
          <w:color w:val="222222"/>
          <w:sz w:val="24"/>
          <w:szCs w:val="24"/>
          <w:highlight w:val="white"/>
        </w:rPr>
        <w:t xml:space="preserve">, 2021). However, the </w:t>
      </w:r>
      <w:r w:rsidRPr="00FA4313">
        <w:rPr>
          <w:rFonts w:ascii="Times New Roman" w:hAnsi="Times New Roman" w:cs="Times New Roman"/>
          <w:sz w:val="24"/>
          <w:szCs w:val="24"/>
        </w:rPr>
        <w:t xml:space="preserve">most immediate impact of the pandemic was seen in global container freight rate trends. </w:t>
      </w:r>
    </w:p>
    <w:p w14:paraId="27FD0161" w14:textId="6E79A785"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sz w:val="24"/>
          <w:szCs w:val="24"/>
        </w:rPr>
        <w:t>The previous high-impact event, the 2008/2009 financial crisis, also had a direct impact on the profitability of the liner shipping market, causing many carriers to opt for bail-outs or debt restructuring plans (</w:t>
      </w:r>
      <w:proofErr w:type="spellStart"/>
      <w:r w:rsidRPr="00FA4313">
        <w:rPr>
          <w:rFonts w:ascii="Times New Roman" w:hAnsi="Times New Roman" w:cs="Times New Roman"/>
          <w:color w:val="222222"/>
          <w:sz w:val="24"/>
          <w:szCs w:val="24"/>
          <w:highlight w:val="white"/>
        </w:rPr>
        <w:t>Notteboom</w:t>
      </w:r>
      <w:proofErr w:type="spellEnd"/>
      <w:r w:rsidRPr="00FA4313">
        <w:rPr>
          <w:rFonts w:ascii="Times New Roman" w:hAnsi="Times New Roman" w:cs="Times New Roman"/>
          <w:color w:val="222222"/>
          <w:sz w:val="24"/>
          <w:szCs w:val="24"/>
          <w:highlight w:val="white"/>
        </w:rPr>
        <w:t xml:space="preserve">, Pallis &amp; Rodrigues, 2021). The shipping industry was unable to adjust vessel capacity which resulted in a period of depressed freight rates, mostly due to poor capacity management and the lack of rationalisation in the industry. </w:t>
      </w:r>
    </w:p>
    <w:p w14:paraId="302AC001" w14:textId="428573B4" w:rsidR="00E9220A" w:rsidRPr="00FA4313" w:rsidRDefault="00D912C9" w:rsidP="00FA4313">
      <w:pPr>
        <w:spacing w:after="0" w:line="240" w:lineRule="auto"/>
        <w:jc w:val="both"/>
        <w:rPr>
          <w:rFonts w:ascii="Times New Roman" w:hAnsi="Times New Roman" w:cs="Times New Roman"/>
          <w:color w:val="222222"/>
          <w:sz w:val="24"/>
          <w:szCs w:val="24"/>
        </w:rPr>
      </w:pPr>
      <w:r w:rsidRPr="00FA4313">
        <w:rPr>
          <w:rFonts w:ascii="Times New Roman" w:hAnsi="Times New Roman" w:cs="Times New Roman"/>
          <w:color w:val="222222"/>
          <w:sz w:val="24"/>
          <w:szCs w:val="24"/>
          <w:highlight w:val="white"/>
        </w:rPr>
        <w:t>However,</w:t>
      </w:r>
      <w:r w:rsidR="00A656F0" w:rsidRPr="00FA4313">
        <w:rPr>
          <w:rFonts w:ascii="Times New Roman" w:hAnsi="Times New Roman" w:cs="Times New Roman"/>
          <w:color w:val="222222"/>
          <w:sz w:val="24"/>
          <w:szCs w:val="24"/>
          <w:highlight w:val="white"/>
        </w:rPr>
        <w:t xml:space="preserve"> the COVID-19 pandemic showed different results, as container lines adjusted their strategy to cope with the drop in volumes, which meant that freight rates did not depress as in the previous incident. In fact, most global freight rates reached a record high during the end of 2020. </w:t>
      </w:r>
    </w:p>
    <w:p w14:paraId="7314B110" w14:textId="50E22474"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Figure 1 shows the drastic increase in container freight rates from August 2020 onwards on the different Shanghai shipping routes (UNCTAD, 2021b). The highest impact was seen in the Shanghai to South America and West Africa trade lanes. Data from Drewry (2021) indicated that from May 2021 to September 2021 the East-West container freight rates ($/40ft) continued to increase drastically to over $10 000 per container. Not only was the surge in freight rates directly linked to the COVID-19 pandemic, but the blocked traffic in the Suez Canal during March 2021 triggered a new surge in container spot freight rates. The ripple effect was passed on directly to the final consumer as most companies cannot absorb the increased freight rates (UNCTAD, 2021b). </w:t>
      </w:r>
    </w:p>
    <w:p w14:paraId="7BD9B6AF" w14:textId="40CD79CE" w:rsidR="00C81362"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The reasons for the extreme surge in freight rates are multiple. Firstly, the changes in consumption patterns caused a spike in electronic commerce, which raised demand for manufactured consumer products. Maritime trade then surged even more as some governments relaxed lockdown regulations and the increase in demand was larger than predicted, resulting in a shortfall of empty containers due to a lack of shipping capacity (UNCTAD, 2021b). Empty containers were left in locations where they were not needed, and repositioning was not planned for. Many containers were "trapped" on South American and African routes due to the long trips involved, and there was an equivalent shortage of freight return from these places.</w:t>
      </w:r>
    </w:p>
    <w:p w14:paraId="25C6A62F" w14:textId="77777777" w:rsidR="00C81362" w:rsidRPr="00FA4313" w:rsidRDefault="00C81362"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6A424BC9"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lastRenderedPageBreak/>
        <w:t>Figure 1: Shanghai containerized freight index, weekly spot rates, 18 December 2009 – 9 April 2021</w:t>
      </w:r>
    </w:p>
    <w:p w14:paraId="0C6253BC"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noProof/>
          <w:sz w:val="24"/>
          <w:szCs w:val="24"/>
        </w:rPr>
        <w:drawing>
          <wp:inline distT="0" distB="0" distL="0" distR="0" wp14:anchorId="737CEF35" wp14:editId="1AF1AE35">
            <wp:extent cx="5731510" cy="304927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3049270"/>
                    </a:xfrm>
                    <a:prstGeom prst="rect">
                      <a:avLst/>
                    </a:prstGeom>
                    <a:ln/>
                  </pic:spPr>
                </pic:pic>
              </a:graphicData>
            </a:graphic>
          </wp:inline>
        </w:drawing>
      </w:r>
    </w:p>
    <w:p w14:paraId="3333147C" w14:textId="77777777" w:rsidR="00E9220A" w:rsidRPr="00FA4313" w:rsidRDefault="00A656F0" w:rsidP="00FA4313">
      <w:pPr>
        <w:spacing w:after="0" w:line="240" w:lineRule="auto"/>
        <w:rPr>
          <w:rFonts w:ascii="Times New Roman" w:hAnsi="Times New Roman" w:cs="Times New Roman"/>
          <w:i/>
          <w:sz w:val="24"/>
          <w:szCs w:val="24"/>
        </w:rPr>
      </w:pPr>
      <w:r w:rsidRPr="00FA4313">
        <w:rPr>
          <w:rFonts w:ascii="Times New Roman" w:hAnsi="Times New Roman" w:cs="Times New Roman"/>
          <w:i/>
          <w:sz w:val="24"/>
          <w:szCs w:val="24"/>
        </w:rPr>
        <w:t>Source: UNCTAD, 2021</w:t>
      </w:r>
    </w:p>
    <w:p w14:paraId="5700ED77" w14:textId="77777777" w:rsidR="00C81362" w:rsidRPr="00FA4313" w:rsidRDefault="00C81362"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49A5B3EF" w14:textId="30D0D826"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lastRenderedPageBreak/>
        <w:t>Hoffman (2021) further attributes the spike in container freight rates to slower-than-normal container turnaround times in ports and equally slower transport linkages. He also indicates that supply capacity was not increasing fast enough to keep up with demand</w:t>
      </w:r>
      <w:r w:rsidR="00D912C9" w:rsidRPr="00FA4313">
        <w:rPr>
          <w:rFonts w:ascii="Times New Roman" w:hAnsi="Times New Roman" w:cs="Times New Roman"/>
          <w:sz w:val="24"/>
          <w:szCs w:val="24"/>
        </w:rPr>
        <w:t>,</w:t>
      </w:r>
      <w:r w:rsidRPr="00FA4313">
        <w:rPr>
          <w:rFonts w:ascii="Times New Roman" w:hAnsi="Times New Roman" w:cs="Times New Roman"/>
          <w:sz w:val="24"/>
          <w:szCs w:val="24"/>
        </w:rPr>
        <w:t xml:space="preserve"> and ports’ flexibility is limited compared to shipping lines.</w:t>
      </w:r>
    </w:p>
    <w:p w14:paraId="74F4BE53" w14:textId="12F479E9"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Additional challenges were caused by the decrease in the number of global port calls (</w:t>
      </w:r>
      <w:proofErr w:type="spellStart"/>
      <w:r w:rsidRPr="00FA4313">
        <w:rPr>
          <w:rFonts w:ascii="Times New Roman" w:hAnsi="Times New Roman" w:cs="Times New Roman"/>
          <w:color w:val="222222"/>
          <w:sz w:val="24"/>
          <w:szCs w:val="24"/>
          <w:highlight w:val="white"/>
        </w:rPr>
        <w:t>Notteboom</w:t>
      </w:r>
      <w:proofErr w:type="spellEnd"/>
      <w:r w:rsidRPr="00FA4313">
        <w:rPr>
          <w:rFonts w:ascii="Times New Roman" w:hAnsi="Times New Roman" w:cs="Times New Roman"/>
          <w:color w:val="222222"/>
          <w:sz w:val="24"/>
          <w:szCs w:val="24"/>
          <w:highlight w:val="white"/>
        </w:rPr>
        <w:t>, Pallis &amp; Rodrigues, 2021). Container vessel calls at ports throughout the world fell by 3.6 percent in the first 30 weeks of 2020 compared to the same time in 2019. The variation in port call reductions can also be seen at the port level. Since COVID-19 was declared a pandemic in mid-March 2020 through July 2020, the percentage of container ports that had a lower number of calls each week approached 40%. A series of blank sailings in long-haul liner services, which can serve as a signal of demand changes, contributed to the documented fall in container vessel calls.</w:t>
      </w:r>
    </w:p>
    <w:p w14:paraId="6C366292" w14:textId="77777777" w:rsidR="00E9220A" w:rsidRPr="00FA4313" w:rsidRDefault="00A656F0"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Cullinane and </w:t>
      </w:r>
      <w:proofErr w:type="spellStart"/>
      <w:r w:rsidRPr="00FA4313">
        <w:rPr>
          <w:rFonts w:ascii="Times New Roman" w:hAnsi="Times New Roman" w:cs="Times New Roman"/>
          <w:color w:val="222222"/>
          <w:sz w:val="24"/>
          <w:szCs w:val="24"/>
          <w:highlight w:val="white"/>
        </w:rPr>
        <w:t>Haralambides</w:t>
      </w:r>
      <w:proofErr w:type="spellEnd"/>
      <w:r w:rsidRPr="00FA4313">
        <w:rPr>
          <w:rFonts w:ascii="Times New Roman" w:hAnsi="Times New Roman" w:cs="Times New Roman"/>
          <w:color w:val="222222"/>
          <w:sz w:val="24"/>
          <w:szCs w:val="24"/>
          <w:highlight w:val="white"/>
        </w:rPr>
        <w:t xml:space="preserve"> (2021) indicates that this pandemic was caused by an unforeseen external shock and it is therefore expected that the world economy will return to pre-COVID-19 levels of activity, and might even surpass them. However, slow economic recovery and continuous reorganisation of global supply chains, according to </w:t>
      </w:r>
      <w:proofErr w:type="spellStart"/>
      <w:r w:rsidRPr="00FA4313">
        <w:rPr>
          <w:rFonts w:ascii="Times New Roman" w:hAnsi="Times New Roman" w:cs="Times New Roman"/>
          <w:color w:val="222222"/>
          <w:sz w:val="24"/>
          <w:szCs w:val="24"/>
          <w:highlight w:val="white"/>
        </w:rPr>
        <w:t>Notteboom</w:t>
      </w:r>
      <w:proofErr w:type="spellEnd"/>
      <w:r w:rsidRPr="00FA4313">
        <w:rPr>
          <w:rFonts w:ascii="Times New Roman" w:hAnsi="Times New Roman" w:cs="Times New Roman"/>
          <w:color w:val="222222"/>
          <w:sz w:val="24"/>
          <w:szCs w:val="24"/>
          <w:highlight w:val="white"/>
        </w:rPr>
        <w:t xml:space="preserve">, Pallis and Rodrigues (2021), could encourage shipping lines to rationalise the main East-West routes and develop regional shipping networks in the long run.  </w:t>
      </w:r>
    </w:p>
    <w:p w14:paraId="7D7074F2" w14:textId="77777777" w:rsidR="00E9220A" w:rsidRPr="00FA4313" w:rsidRDefault="00E9220A" w:rsidP="00FA4313">
      <w:pPr>
        <w:spacing w:after="0" w:line="240" w:lineRule="auto"/>
        <w:rPr>
          <w:rFonts w:ascii="Times New Roman" w:hAnsi="Times New Roman" w:cs="Times New Roman"/>
          <w:b/>
          <w:sz w:val="24"/>
          <w:szCs w:val="24"/>
        </w:rPr>
      </w:pPr>
    </w:p>
    <w:p w14:paraId="5E435622" w14:textId="45E8F067" w:rsidR="00E9220A" w:rsidRPr="00FA4313" w:rsidRDefault="00A656F0" w:rsidP="00FA4313">
      <w:pPr>
        <w:numPr>
          <w:ilvl w:val="0"/>
          <w:numId w:val="1"/>
        </w:numPr>
        <w:pBdr>
          <w:top w:val="nil"/>
          <w:left w:val="nil"/>
          <w:bottom w:val="nil"/>
          <w:right w:val="nil"/>
          <w:between w:val="nil"/>
        </w:pBdr>
        <w:spacing w:after="0" w:line="240" w:lineRule="auto"/>
        <w:ind w:left="284" w:hanging="284"/>
        <w:rPr>
          <w:rFonts w:ascii="Times New Roman" w:hAnsi="Times New Roman" w:cs="Times New Roman"/>
          <w:b/>
          <w:color w:val="000000"/>
          <w:sz w:val="24"/>
          <w:szCs w:val="24"/>
        </w:rPr>
      </w:pPr>
      <w:r w:rsidRPr="00FA4313">
        <w:rPr>
          <w:rFonts w:ascii="Times New Roman" w:hAnsi="Times New Roman" w:cs="Times New Roman"/>
          <w:b/>
          <w:color w:val="000000"/>
          <w:sz w:val="24"/>
          <w:szCs w:val="24"/>
        </w:rPr>
        <w:t>The impact on the ports and shipping industry in South Africa:</w:t>
      </w:r>
    </w:p>
    <w:p w14:paraId="145B706B" w14:textId="77777777" w:rsidR="00C81362" w:rsidRPr="00FA4313" w:rsidRDefault="00C81362" w:rsidP="00FA4313">
      <w:pPr>
        <w:pBdr>
          <w:top w:val="nil"/>
          <w:left w:val="nil"/>
          <w:bottom w:val="nil"/>
          <w:right w:val="nil"/>
          <w:between w:val="nil"/>
        </w:pBdr>
        <w:spacing w:after="0" w:line="240" w:lineRule="auto"/>
        <w:ind w:left="284"/>
        <w:rPr>
          <w:rFonts w:ascii="Times New Roman" w:hAnsi="Times New Roman" w:cs="Times New Roman"/>
          <w:b/>
          <w:color w:val="000000"/>
          <w:sz w:val="24"/>
          <w:szCs w:val="24"/>
        </w:rPr>
      </w:pPr>
    </w:p>
    <w:p w14:paraId="7F010C89" w14:textId="587CF0E5"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President Cyril </w:t>
      </w:r>
      <w:proofErr w:type="spellStart"/>
      <w:r w:rsidRPr="00FA4313">
        <w:rPr>
          <w:rFonts w:ascii="Times New Roman" w:hAnsi="Times New Roman" w:cs="Times New Roman"/>
          <w:sz w:val="24"/>
          <w:szCs w:val="24"/>
        </w:rPr>
        <w:t>Ramaphosa</w:t>
      </w:r>
      <w:proofErr w:type="spellEnd"/>
      <w:r w:rsidRPr="00FA4313">
        <w:rPr>
          <w:rFonts w:ascii="Times New Roman" w:hAnsi="Times New Roman" w:cs="Times New Roman"/>
          <w:sz w:val="24"/>
          <w:szCs w:val="24"/>
        </w:rPr>
        <w:t xml:space="preserve"> proclaimed a national state of disaster </w:t>
      </w:r>
      <w:r w:rsidR="00D912C9" w:rsidRPr="00FA4313">
        <w:rPr>
          <w:rFonts w:ascii="Times New Roman" w:hAnsi="Times New Roman" w:cs="Times New Roman"/>
          <w:sz w:val="24"/>
          <w:szCs w:val="24"/>
        </w:rPr>
        <w:t xml:space="preserve">in South Africa </w:t>
      </w:r>
      <w:r w:rsidRPr="00FA4313">
        <w:rPr>
          <w:rFonts w:ascii="Times New Roman" w:hAnsi="Times New Roman" w:cs="Times New Roman"/>
          <w:sz w:val="24"/>
          <w:szCs w:val="24"/>
        </w:rPr>
        <w:t xml:space="preserve">on March 15, 2020, and announced </w:t>
      </w:r>
      <w:r w:rsidR="00D912C9" w:rsidRPr="00FA4313">
        <w:rPr>
          <w:rFonts w:ascii="Times New Roman" w:hAnsi="Times New Roman" w:cs="Times New Roman"/>
          <w:sz w:val="24"/>
          <w:szCs w:val="24"/>
        </w:rPr>
        <w:t xml:space="preserve">immediate </w:t>
      </w:r>
      <w:r w:rsidRPr="00FA4313">
        <w:rPr>
          <w:rFonts w:ascii="Times New Roman" w:hAnsi="Times New Roman" w:cs="Times New Roman"/>
          <w:sz w:val="24"/>
          <w:szCs w:val="24"/>
        </w:rPr>
        <w:t>measures</w:t>
      </w:r>
      <w:r w:rsidR="00D912C9" w:rsidRPr="00FA4313">
        <w:rPr>
          <w:rFonts w:ascii="Times New Roman" w:hAnsi="Times New Roman" w:cs="Times New Roman"/>
          <w:sz w:val="24"/>
          <w:szCs w:val="24"/>
        </w:rPr>
        <w:t xml:space="preserve"> to curb the spread of the virus</w:t>
      </w:r>
      <w:r w:rsidRPr="00FA4313">
        <w:rPr>
          <w:rFonts w:ascii="Times New Roman" w:hAnsi="Times New Roman" w:cs="Times New Roman"/>
          <w:sz w:val="24"/>
          <w:szCs w:val="24"/>
        </w:rPr>
        <w:t>. By April 20, 2020, two of South Africa's eight seaports (Saldanha Bay and Mossel Bay) were closed to passenger traffic and crew disembarking (</w:t>
      </w:r>
      <w:r w:rsidRPr="00FA4313">
        <w:rPr>
          <w:rFonts w:ascii="Times New Roman" w:hAnsi="Times New Roman" w:cs="Times New Roman"/>
          <w:color w:val="131413"/>
          <w:sz w:val="24"/>
          <w:szCs w:val="24"/>
        </w:rPr>
        <w:t>Oyenuga, 2021)</w:t>
      </w:r>
      <w:r w:rsidRPr="00FA4313">
        <w:rPr>
          <w:rFonts w:ascii="Times New Roman" w:hAnsi="Times New Roman" w:cs="Times New Roman"/>
          <w:sz w:val="24"/>
          <w:szCs w:val="24"/>
        </w:rPr>
        <w:t>.</w:t>
      </w:r>
    </w:p>
    <w:p w14:paraId="664AED69" w14:textId="375AD694"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The initial closure of international borders for all but the most essential items resulted in a contraction of the economy and the circulation of goods. As a result of movement limitations, trade </w:t>
      </w:r>
      <w:r w:rsidR="00D912C9" w:rsidRPr="00FA4313">
        <w:rPr>
          <w:rFonts w:ascii="Times New Roman" w:hAnsi="Times New Roman" w:cs="Times New Roman"/>
          <w:sz w:val="24"/>
          <w:szCs w:val="24"/>
        </w:rPr>
        <w:t>with</w:t>
      </w:r>
      <w:r w:rsidRPr="00FA4313">
        <w:rPr>
          <w:rFonts w:ascii="Times New Roman" w:hAnsi="Times New Roman" w:cs="Times New Roman"/>
          <w:sz w:val="24"/>
          <w:szCs w:val="24"/>
        </w:rPr>
        <w:t xml:space="preserve"> South Africa initially declined by 3%, and many shipments were left stranded in ports, yards, and warehouses (Viljoen, 2020; Bezuidenhout 2020).</w:t>
      </w:r>
    </w:p>
    <w:p w14:paraId="6382C8E8" w14:textId="6516538A"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Eventually commercial ports were reopened and by September 2020 services in ports slowly returned to pre-COVID levels (Pike, 2020). But the effects are far from over. Increased port tariff charges, and continued high international freight rates have had a significant effect on the industry.</w:t>
      </w:r>
    </w:p>
    <w:p w14:paraId="2B625E79" w14:textId="58B02D6E" w:rsidR="00E9220A" w:rsidRPr="00FA4313" w:rsidRDefault="00A656F0" w:rsidP="00FA4313">
      <w:pPr>
        <w:spacing w:after="0" w:line="240" w:lineRule="auto"/>
        <w:rPr>
          <w:rFonts w:ascii="Times New Roman" w:hAnsi="Times New Roman" w:cs="Times New Roman"/>
          <w:color w:val="222222"/>
          <w:sz w:val="24"/>
          <w:szCs w:val="24"/>
        </w:rPr>
      </w:pPr>
      <w:r w:rsidRPr="00FA4313">
        <w:rPr>
          <w:rFonts w:ascii="Times New Roman" w:hAnsi="Times New Roman" w:cs="Times New Roman"/>
          <w:color w:val="222222"/>
          <w:sz w:val="24"/>
          <w:szCs w:val="24"/>
        </w:rPr>
        <w:t>The below section analyses the trends in cargo volumes and rates in more detail.</w:t>
      </w:r>
    </w:p>
    <w:p w14:paraId="79CBAB20" w14:textId="77777777" w:rsidR="00C81362" w:rsidRPr="00FA4313" w:rsidRDefault="00C81362" w:rsidP="00FA4313">
      <w:pPr>
        <w:spacing w:after="0" w:line="240" w:lineRule="auto"/>
        <w:rPr>
          <w:rFonts w:ascii="Times New Roman" w:hAnsi="Times New Roman" w:cs="Times New Roman"/>
          <w:color w:val="222222"/>
          <w:sz w:val="24"/>
          <w:szCs w:val="24"/>
        </w:rPr>
      </w:pPr>
    </w:p>
    <w:p w14:paraId="5F47ECAD" w14:textId="1570E67C"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t>3.1</w:t>
      </w:r>
      <w:r w:rsidRPr="00FA4313">
        <w:rPr>
          <w:rFonts w:ascii="Times New Roman" w:hAnsi="Times New Roman" w:cs="Times New Roman"/>
          <w:b/>
          <w:sz w:val="24"/>
          <w:szCs w:val="24"/>
        </w:rPr>
        <w:tab/>
      </w:r>
      <w:sdt>
        <w:sdtPr>
          <w:rPr>
            <w:rFonts w:ascii="Times New Roman" w:hAnsi="Times New Roman" w:cs="Times New Roman"/>
            <w:sz w:val="24"/>
            <w:szCs w:val="24"/>
          </w:rPr>
          <w:tag w:val="goog_rdk_8"/>
          <w:id w:val="811146840"/>
        </w:sdtPr>
        <w:sdtEndPr/>
        <w:sdtContent/>
      </w:sdt>
      <w:r w:rsidRPr="00FA4313">
        <w:rPr>
          <w:rFonts w:ascii="Times New Roman" w:hAnsi="Times New Roman" w:cs="Times New Roman"/>
          <w:b/>
          <w:sz w:val="24"/>
          <w:szCs w:val="24"/>
        </w:rPr>
        <w:t xml:space="preserve">Trends in cargo volumes and </w:t>
      </w:r>
      <w:r w:rsidR="00513BCE" w:rsidRPr="00FA4313">
        <w:rPr>
          <w:rFonts w:ascii="Times New Roman" w:hAnsi="Times New Roman" w:cs="Times New Roman"/>
          <w:b/>
          <w:sz w:val="24"/>
          <w:szCs w:val="24"/>
        </w:rPr>
        <w:t xml:space="preserve">container freight </w:t>
      </w:r>
      <w:r w:rsidRPr="00FA4313">
        <w:rPr>
          <w:rFonts w:ascii="Times New Roman" w:hAnsi="Times New Roman" w:cs="Times New Roman"/>
          <w:b/>
          <w:sz w:val="24"/>
          <w:szCs w:val="24"/>
        </w:rPr>
        <w:t>rates in South Africa</w:t>
      </w:r>
    </w:p>
    <w:p w14:paraId="2746E044" w14:textId="77777777" w:rsidR="00C81362" w:rsidRPr="00FA4313" w:rsidRDefault="00C81362" w:rsidP="00FA4313">
      <w:pPr>
        <w:spacing w:after="0" w:line="240" w:lineRule="auto"/>
        <w:rPr>
          <w:rFonts w:ascii="Times New Roman" w:hAnsi="Times New Roman" w:cs="Times New Roman"/>
          <w:b/>
          <w:sz w:val="24"/>
          <w:szCs w:val="24"/>
        </w:rPr>
      </w:pPr>
    </w:p>
    <w:p w14:paraId="3B5D31AC" w14:textId="1C2E024A" w:rsidR="00FE48AE"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During the initial phases of lockdown, p</w:t>
      </w:r>
      <w:sdt>
        <w:sdtPr>
          <w:rPr>
            <w:rFonts w:ascii="Times New Roman" w:hAnsi="Times New Roman" w:cs="Times New Roman"/>
            <w:sz w:val="24"/>
            <w:szCs w:val="24"/>
          </w:rPr>
          <w:tag w:val="goog_rdk_9"/>
          <w:id w:val="-1433660166"/>
        </w:sdtPr>
        <w:sdtEndPr/>
        <w:sdtContent/>
      </w:sdt>
      <w:sdt>
        <w:sdtPr>
          <w:rPr>
            <w:rFonts w:ascii="Times New Roman" w:hAnsi="Times New Roman" w:cs="Times New Roman"/>
            <w:sz w:val="24"/>
            <w:szCs w:val="24"/>
          </w:rPr>
          <w:tag w:val="goog_rdk_10"/>
          <w:id w:val="8417382"/>
        </w:sdtPr>
        <w:sdtEndPr/>
        <w:sdtContent/>
      </w:sdt>
      <w:r w:rsidRPr="00FA4313">
        <w:rPr>
          <w:rFonts w:ascii="Times New Roman" w:hAnsi="Times New Roman" w:cs="Times New Roman"/>
          <w:sz w:val="24"/>
          <w:szCs w:val="24"/>
        </w:rPr>
        <w:t xml:space="preserve">ort operations were scaled back to 60 percent capacity due to the further drop in imports and exports, and Transnet Freight Rail declared an immediate scale-down of operations (Luke, 2020). The effects remained significant even after the initial hard lockdown in April 2020. Figure 2 provides an overview of the total cargo volumes and the total 6m containers (TEUs) handled by the different ports in South Africa from January 2019 to August 2021 (Transnet, 2021). The data shows the most severe impact of COVID lockdown on cargo flows from April 2020 until July 2020, which corresponds with the time period in which South Africa had its most severe lockdown restrictions in place. </w:t>
      </w:r>
    </w:p>
    <w:p w14:paraId="2C1A8D94" w14:textId="77777777" w:rsidR="00FE48AE" w:rsidRPr="00FA4313" w:rsidRDefault="00FE48AE"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2B70A3E1"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lastRenderedPageBreak/>
        <w:t>Figure 2: Total cargo (in metric tons) and total TEU flows through South Africa’s ports:</w:t>
      </w:r>
    </w:p>
    <w:p w14:paraId="1B4BB5B3"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t xml:space="preserve">  </w:t>
      </w:r>
      <w:r w:rsidRPr="00FA4313">
        <w:rPr>
          <w:rFonts w:ascii="Times New Roman" w:hAnsi="Times New Roman" w:cs="Times New Roman"/>
          <w:b/>
          <w:noProof/>
          <w:sz w:val="24"/>
          <w:szCs w:val="24"/>
        </w:rPr>
        <w:drawing>
          <wp:inline distT="114300" distB="114300" distL="114300" distR="114300" wp14:anchorId="44B4D4BC" wp14:editId="685213F3">
            <wp:extent cx="2732451" cy="164814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732451" cy="1648145"/>
                    </a:xfrm>
                    <a:prstGeom prst="rect">
                      <a:avLst/>
                    </a:prstGeom>
                    <a:ln/>
                  </pic:spPr>
                </pic:pic>
              </a:graphicData>
            </a:graphic>
          </wp:inline>
        </w:drawing>
      </w:r>
      <w:r w:rsidRPr="00FA4313">
        <w:rPr>
          <w:rFonts w:ascii="Times New Roman" w:hAnsi="Times New Roman" w:cs="Times New Roman"/>
          <w:b/>
          <w:noProof/>
          <w:sz w:val="24"/>
          <w:szCs w:val="24"/>
        </w:rPr>
        <w:drawing>
          <wp:inline distT="114300" distB="114300" distL="114300" distR="114300" wp14:anchorId="2FD44172" wp14:editId="7CDF8907">
            <wp:extent cx="2684826" cy="164782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84826" cy="1647825"/>
                    </a:xfrm>
                    <a:prstGeom prst="rect">
                      <a:avLst/>
                    </a:prstGeom>
                    <a:ln/>
                  </pic:spPr>
                </pic:pic>
              </a:graphicData>
            </a:graphic>
          </wp:inline>
        </w:drawing>
      </w:r>
    </w:p>
    <w:p w14:paraId="42865387"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t xml:space="preserve">    </w:t>
      </w:r>
      <w:r w:rsidRPr="00FA4313">
        <w:rPr>
          <w:rFonts w:ascii="Times New Roman" w:hAnsi="Times New Roman" w:cs="Times New Roman"/>
          <w:b/>
          <w:noProof/>
          <w:sz w:val="24"/>
          <w:szCs w:val="24"/>
        </w:rPr>
        <w:drawing>
          <wp:inline distT="114300" distB="114300" distL="114300" distR="114300" wp14:anchorId="2698D0D9" wp14:editId="4F90DFAF">
            <wp:extent cx="2688365" cy="1609361"/>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88365" cy="1609361"/>
                    </a:xfrm>
                    <a:prstGeom prst="rect">
                      <a:avLst/>
                    </a:prstGeom>
                    <a:ln/>
                  </pic:spPr>
                </pic:pic>
              </a:graphicData>
            </a:graphic>
          </wp:inline>
        </w:drawing>
      </w:r>
      <w:r w:rsidRPr="00FA4313">
        <w:rPr>
          <w:rFonts w:ascii="Times New Roman" w:hAnsi="Times New Roman" w:cs="Times New Roman"/>
          <w:b/>
          <w:noProof/>
          <w:sz w:val="24"/>
          <w:szCs w:val="24"/>
        </w:rPr>
        <w:drawing>
          <wp:inline distT="114300" distB="114300" distL="114300" distR="114300" wp14:anchorId="03E22806" wp14:editId="162633CA">
            <wp:extent cx="2669315" cy="160158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669315" cy="1601589"/>
                    </a:xfrm>
                    <a:prstGeom prst="rect">
                      <a:avLst/>
                    </a:prstGeom>
                    <a:ln/>
                  </pic:spPr>
                </pic:pic>
              </a:graphicData>
            </a:graphic>
          </wp:inline>
        </w:drawing>
      </w:r>
    </w:p>
    <w:p w14:paraId="363F4CC7" w14:textId="77777777" w:rsidR="00E9220A" w:rsidRPr="00FA4313" w:rsidRDefault="00A656F0" w:rsidP="00FA4313">
      <w:pPr>
        <w:spacing w:after="0" w:line="240" w:lineRule="auto"/>
        <w:rPr>
          <w:rFonts w:ascii="Times New Roman" w:hAnsi="Times New Roman" w:cs="Times New Roman"/>
          <w:i/>
          <w:sz w:val="24"/>
          <w:szCs w:val="24"/>
        </w:rPr>
      </w:pPr>
      <w:r w:rsidRPr="00FA4313">
        <w:rPr>
          <w:rFonts w:ascii="Times New Roman" w:hAnsi="Times New Roman" w:cs="Times New Roman"/>
          <w:i/>
          <w:sz w:val="24"/>
          <w:szCs w:val="24"/>
        </w:rPr>
        <w:t>Source: Transnet (2021)</w:t>
      </w:r>
    </w:p>
    <w:p w14:paraId="357151A6" w14:textId="1B765E13" w:rsidR="00C81362" w:rsidRPr="00FA4313" w:rsidRDefault="00C81362" w:rsidP="00FA4313">
      <w:pPr>
        <w:suppressLineNumbers/>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br w:type="page"/>
      </w:r>
    </w:p>
    <w:p w14:paraId="57562199" w14:textId="5684AE5C" w:rsidR="00C81362"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lastRenderedPageBreak/>
        <w:t xml:space="preserve">Further data obtained </w:t>
      </w:r>
      <w:r w:rsidR="00D912C9" w:rsidRPr="00FA4313">
        <w:rPr>
          <w:rFonts w:ascii="Times New Roman" w:hAnsi="Times New Roman" w:cs="Times New Roman"/>
          <w:sz w:val="24"/>
          <w:szCs w:val="24"/>
        </w:rPr>
        <w:t xml:space="preserve">with permission </w:t>
      </w:r>
      <w:r w:rsidRPr="00FA4313">
        <w:rPr>
          <w:rFonts w:ascii="Times New Roman" w:hAnsi="Times New Roman" w:cs="Times New Roman"/>
          <w:sz w:val="24"/>
          <w:szCs w:val="24"/>
        </w:rPr>
        <w:t xml:space="preserve">from a local South African freight forwarding </w:t>
      </w:r>
      <w:r w:rsidR="00270193" w:rsidRPr="00FA4313">
        <w:rPr>
          <w:rFonts w:ascii="Times New Roman" w:hAnsi="Times New Roman" w:cs="Times New Roman"/>
          <w:sz w:val="24"/>
          <w:szCs w:val="24"/>
        </w:rPr>
        <w:t xml:space="preserve">company </w:t>
      </w:r>
      <w:r w:rsidRPr="00FA4313">
        <w:rPr>
          <w:rFonts w:ascii="Times New Roman" w:hAnsi="Times New Roman" w:cs="Times New Roman"/>
          <w:sz w:val="24"/>
          <w:szCs w:val="24"/>
        </w:rPr>
        <w:t>indicates the average 40-foot container freight rates for goods imported through Durban port from 2020 to 2021. Figure 3 shows the drastic impact of the COVID pandemic on container freight rates that this specific company experienced</w:t>
      </w:r>
      <w:r w:rsidR="00270193" w:rsidRPr="00FA4313">
        <w:rPr>
          <w:rFonts w:ascii="Times New Roman" w:hAnsi="Times New Roman" w:cs="Times New Roman"/>
          <w:sz w:val="24"/>
          <w:szCs w:val="24"/>
        </w:rPr>
        <w:t xml:space="preserve"> from July 2020</w:t>
      </w:r>
      <w:r w:rsidRPr="00FA4313">
        <w:rPr>
          <w:rFonts w:ascii="Times New Roman" w:hAnsi="Times New Roman" w:cs="Times New Roman"/>
          <w:sz w:val="24"/>
          <w:szCs w:val="24"/>
        </w:rPr>
        <w:t xml:space="preserve">, especially for imports from China. Container freight rates almost doubled for goods imported from Italy, </w:t>
      </w:r>
      <w:r w:rsidR="00270193" w:rsidRPr="00FA4313">
        <w:rPr>
          <w:rFonts w:ascii="Times New Roman" w:hAnsi="Times New Roman" w:cs="Times New Roman"/>
          <w:sz w:val="24"/>
          <w:szCs w:val="24"/>
        </w:rPr>
        <w:t xml:space="preserve">and </w:t>
      </w:r>
      <w:r w:rsidRPr="00FA4313">
        <w:rPr>
          <w:rFonts w:ascii="Times New Roman" w:hAnsi="Times New Roman" w:cs="Times New Roman"/>
          <w:sz w:val="24"/>
          <w:szCs w:val="24"/>
        </w:rPr>
        <w:t>for goods imported from China the container freight rates jumped from R15 395 in July 2020, to just over R60 000 in June 2021.</w:t>
      </w:r>
    </w:p>
    <w:p w14:paraId="3B21D1B2" w14:textId="77777777" w:rsidR="00C81362" w:rsidRPr="00FA4313" w:rsidRDefault="00C81362"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1E53D1B0" w14:textId="77777777" w:rsidR="00E9220A" w:rsidRPr="00FA4313" w:rsidRDefault="00A656F0" w:rsidP="00FA4313">
      <w:pPr>
        <w:spacing w:after="0" w:line="240" w:lineRule="auto"/>
        <w:jc w:val="both"/>
        <w:rPr>
          <w:rFonts w:ascii="Times New Roman" w:hAnsi="Times New Roman" w:cs="Times New Roman"/>
          <w:b/>
          <w:sz w:val="24"/>
          <w:szCs w:val="24"/>
        </w:rPr>
      </w:pPr>
      <w:r w:rsidRPr="00FA4313">
        <w:rPr>
          <w:rFonts w:ascii="Times New Roman" w:hAnsi="Times New Roman" w:cs="Times New Roman"/>
          <w:b/>
          <w:sz w:val="24"/>
          <w:szCs w:val="24"/>
        </w:rPr>
        <w:lastRenderedPageBreak/>
        <w:t>Figure 3: Average 40-foot container freight rates for imports from China and Italy to Durban: 2020-2021</w:t>
      </w:r>
    </w:p>
    <w:p w14:paraId="109FFE05"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noProof/>
          <w:sz w:val="24"/>
          <w:szCs w:val="24"/>
        </w:rPr>
        <w:drawing>
          <wp:inline distT="0" distB="0" distL="0" distR="0" wp14:anchorId="529D9C68" wp14:editId="03861B53">
            <wp:extent cx="3832860" cy="200406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E0B851" w14:textId="77777777" w:rsidR="00E9220A" w:rsidRPr="00FA4313" w:rsidRDefault="00A656F0" w:rsidP="00FA4313">
      <w:pPr>
        <w:spacing w:after="0" w:line="240" w:lineRule="auto"/>
        <w:rPr>
          <w:rFonts w:ascii="Times New Roman" w:hAnsi="Times New Roman" w:cs="Times New Roman"/>
          <w:i/>
          <w:sz w:val="24"/>
          <w:szCs w:val="24"/>
        </w:rPr>
      </w:pPr>
      <w:r w:rsidRPr="00FA4313">
        <w:rPr>
          <w:rFonts w:ascii="Times New Roman" w:hAnsi="Times New Roman" w:cs="Times New Roman"/>
          <w:i/>
          <w:sz w:val="24"/>
          <w:szCs w:val="24"/>
        </w:rPr>
        <w:t>Source: Author’s own calculations</w:t>
      </w:r>
    </w:p>
    <w:p w14:paraId="1C0BE59A" w14:textId="0FAC53AC" w:rsidR="00C81362" w:rsidRPr="00FA4313" w:rsidRDefault="00C81362"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0F74072F" w14:textId="77777777"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lastRenderedPageBreak/>
        <w:t xml:space="preserve">Venter (2021) </w:t>
      </w:r>
      <w:r w:rsidR="00F51382" w:rsidRPr="00FA4313">
        <w:rPr>
          <w:rFonts w:ascii="Times New Roman" w:hAnsi="Times New Roman" w:cs="Times New Roman"/>
          <w:sz w:val="24"/>
          <w:szCs w:val="24"/>
        </w:rPr>
        <w:t xml:space="preserve">reported </w:t>
      </w:r>
      <w:r w:rsidRPr="00FA4313">
        <w:rPr>
          <w:rFonts w:ascii="Times New Roman" w:hAnsi="Times New Roman" w:cs="Times New Roman"/>
          <w:sz w:val="24"/>
          <w:szCs w:val="24"/>
        </w:rPr>
        <w:t xml:space="preserve">that the spot rate for a 40-foot container from Shanghai to Los Angeles in August 2021 was 238% higher than during the same period in 2020, reflecting a seriously imbalanced system. Due to international container delays and capacity issues, shipping lines reduced the capacity of South Africa’s trade route, shutting down services and phasing out large vessels to small vessels. Shipping lines also diverted goods destined for the port of Durban, to the ports of Ngqura or Cape Town, or even opted to unload goods at </w:t>
      </w:r>
      <w:r w:rsidR="00F51382" w:rsidRPr="00FA4313">
        <w:rPr>
          <w:rFonts w:ascii="Times New Roman" w:hAnsi="Times New Roman" w:cs="Times New Roman"/>
          <w:sz w:val="24"/>
          <w:szCs w:val="24"/>
        </w:rPr>
        <w:t xml:space="preserve">neighbouring </w:t>
      </w:r>
      <w:r w:rsidRPr="00FA4313">
        <w:rPr>
          <w:rFonts w:ascii="Times New Roman" w:hAnsi="Times New Roman" w:cs="Times New Roman"/>
          <w:sz w:val="24"/>
          <w:szCs w:val="24"/>
        </w:rPr>
        <w:t xml:space="preserve">Walvis Bay, Luanda or Maputo ports. Venter (2021) emphasises that the inefficiencies at the port of Durban hindered shipping lines’ ability to restore the reliability of their schedules. </w:t>
      </w:r>
    </w:p>
    <w:p w14:paraId="71445F6D" w14:textId="0988926F"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Accessibility into the port of Durban itself have also experienced significant delays, with extended time periods of waiting for trucks entering the port. Poor access routes and underdeveloped rail infrastructure cause further problems (Venter 2021).</w:t>
      </w:r>
    </w:p>
    <w:p w14:paraId="670DD221" w14:textId="60840AB1" w:rsidR="00E9220A" w:rsidRPr="00FA4313" w:rsidRDefault="00F51382"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The following section discusses the issues surrounding port pricing that has also exacerbated the situation.</w:t>
      </w:r>
    </w:p>
    <w:p w14:paraId="449B012A" w14:textId="77777777" w:rsidR="00C81362" w:rsidRPr="00FA4313" w:rsidRDefault="00C81362" w:rsidP="00FA4313">
      <w:pPr>
        <w:spacing w:after="0" w:line="240" w:lineRule="auto"/>
        <w:jc w:val="both"/>
        <w:rPr>
          <w:rFonts w:ascii="Times New Roman" w:hAnsi="Times New Roman" w:cs="Times New Roman"/>
          <w:sz w:val="24"/>
          <w:szCs w:val="24"/>
        </w:rPr>
      </w:pPr>
    </w:p>
    <w:p w14:paraId="18432DCF" w14:textId="7326AB9B" w:rsidR="00B822C1" w:rsidRPr="00FA4313" w:rsidRDefault="00270193" w:rsidP="00FA4313">
      <w:pPr>
        <w:spacing w:after="0" w:line="240" w:lineRule="auto"/>
        <w:rPr>
          <w:rFonts w:ascii="Times New Roman" w:hAnsi="Times New Roman" w:cs="Times New Roman"/>
          <w:b/>
          <w:color w:val="000000" w:themeColor="text1"/>
          <w:sz w:val="24"/>
          <w:szCs w:val="24"/>
        </w:rPr>
      </w:pPr>
      <w:r w:rsidRPr="00FA4313">
        <w:rPr>
          <w:rFonts w:ascii="Times New Roman" w:hAnsi="Times New Roman" w:cs="Times New Roman"/>
          <w:b/>
          <w:color w:val="000000" w:themeColor="text1"/>
          <w:sz w:val="24"/>
          <w:szCs w:val="24"/>
        </w:rPr>
        <w:t>3.2</w:t>
      </w:r>
      <w:r w:rsidRPr="00FA4313">
        <w:rPr>
          <w:rFonts w:ascii="Times New Roman" w:hAnsi="Times New Roman" w:cs="Times New Roman"/>
          <w:b/>
          <w:color w:val="000000" w:themeColor="text1"/>
          <w:sz w:val="24"/>
          <w:szCs w:val="24"/>
        </w:rPr>
        <w:tab/>
      </w:r>
      <w:r w:rsidR="00577856" w:rsidRPr="00FA4313">
        <w:rPr>
          <w:rFonts w:ascii="Times New Roman" w:hAnsi="Times New Roman" w:cs="Times New Roman"/>
          <w:b/>
          <w:color w:val="000000" w:themeColor="text1"/>
          <w:sz w:val="24"/>
          <w:szCs w:val="24"/>
        </w:rPr>
        <w:t>Port Pricing in South Africa</w:t>
      </w:r>
    </w:p>
    <w:p w14:paraId="2D924C40" w14:textId="77777777" w:rsidR="00C81362" w:rsidRPr="00FA4313" w:rsidRDefault="00C81362" w:rsidP="00FA4313">
      <w:pPr>
        <w:spacing w:after="0" w:line="240" w:lineRule="auto"/>
        <w:rPr>
          <w:rFonts w:ascii="Times New Roman" w:hAnsi="Times New Roman" w:cs="Times New Roman"/>
          <w:b/>
          <w:color w:val="000000" w:themeColor="text1"/>
          <w:sz w:val="24"/>
          <w:szCs w:val="24"/>
        </w:rPr>
      </w:pPr>
    </w:p>
    <w:p w14:paraId="64410E4D" w14:textId="3AAFAEB3" w:rsidR="00B346E6" w:rsidRPr="00FA4313" w:rsidRDefault="00776E56" w:rsidP="00FA4313">
      <w:pPr>
        <w:spacing w:after="0" w:line="240" w:lineRule="auto"/>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xml:space="preserve">The PRSA </w:t>
      </w:r>
      <w:r w:rsidR="008C6E31" w:rsidRPr="00FA4313">
        <w:rPr>
          <w:rFonts w:ascii="Times New Roman" w:hAnsi="Times New Roman" w:cs="Times New Roman"/>
          <w:color w:val="000000" w:themeColor="text1"/>
          <w:sz w:val="24"/>
          <w:szCs w:val="24"/>
        </w:rPr>
        <w:t xml:space="preserve">(2021) </w:t>
      </w:r>
      <w:r w:rsidR="00F752B4" w:rsidRPr="00FA4313">
        <w:rPr>
          <w:rFonts w:ascii="Times New Roman" w:hAnsi="Times New Roman" w:cs="Times New Roman"/>
          <w:color w:val="000000" w:themeColor="text1"/>
          <w:sz w:val="24"/>
          <w:szCs w:val="24"/>
        </w:rPr>
        <w:t>annually</w:t>
      </w:r>
      <w:r w:rsidRPr="00FA4313">
        <w:rPr>
          <w:rFonts w:ascii="Times New Roman" w:hAnsi="Times New Roman" w:cs="Times New Roman"/>
          <w:color w:val="000000" w:themeColor="text1"/>
          <w:sz w:val="24"/>
          <w:szCs w:val="24"/>
        </w:rPr>
        <w:t xml:space="preserve"> </w:t>
      </w:r>
      <w:r w:rsidR="00F752B4" w:rsidRPr="00FA4313">
        <w:rPr>
          <w:rFonts w:ascii="Times New Roman" w:hAnsi="Times New Roman" w:cs="Times New Roman"/>
          <w:color w:val="000000" w:themeColor="text1"/>
          <w:sz w:val="24"/>
          <w:szCs w:val="24"/>
        </w:rPr>
        <w:t>publishes</w:t>
      </w:r>
      <w:r w:rsidRPr="00FA4313">
        <w:rPr>
          <w:rFonts w:ascii="Times New Roman" w:hAnsi="Times New Roman" w:cs="Times New Roman"/>
          <w:color w:val="000000" w:themeColor="text1"/>
          <w:sz w:val="24"/>
          <w:szCs w:val="24"/>
        </w:rPr>
        <w:t xml:space="preserve"> </w:t>
      </w:r>
      <w:r w:rsidR="008C6E31" w:rsidRPr="00FA4313">
        <w:rPr>
          <w:rFonts w:ascii="Times New Roman" w:hAnsi="Times New Roman" w:cs="Times New Roman"/>
          <w:color w:val="000000" w:themeColor="text1"/>
          <w:sz w:val="24"/>
          <w:szCs w:val="24"/>
        </w:rPr>
        <w:t xml:space="preserve">a </w:t>
      </w:r>
      <w:r w:rsidR="00144CDC" w:rsidRPr="00FA4313">
        <w:rPr>
          <w:rFonts w:ascii="Times New Roman" w:hAnsi="Times New Roman" w:cs="Times New Roman"/>
          <w:color w:val="000000" w:themeColor="text1"/>
          <w:sz w:val="24"/>
          <w:szCs w:val="24"/>
        </w:rPr>
        <w:t>G</w:t>
      </w:r>
      <w:r w:rsidR="008C6E31" w:rsidRPr="00FA4313">
        <w:rPr>
          <w:rFonts w:ascii="Times New Roman" w:hAnsi="Times New Roman" w:cs="Times New Roman"/>
          <w:color w:val="000000" w:themeColor="text1"/>
          <w:sz w:val="24"/>
          <w:szCs w:val="24"/>
        </w:rPr>
        <w:t>lobal</w:t>
      </w:r>
      <w:r w:rsidR="00144CDC" w:rsidRPr="00FA4313">
        <w:rPr>
          <w:rFonts w:ascii="Times New Roman" w:hAnsi="Times New Roman" w:cs="Times New Roman"/>
          <w:color w:val="000000" w:themeColor="text1"/>
          <w:sz w:val="24"/>
          <w:szCs w:val="24"/>
        </w:rPr>
        <w:t xml:space="preserve"> Pricing Comparator Study for Port Tariffs. It is</w:t>
      </w:r>
      <w:r w:rsidR="008C6E31" w:rsidRPr="00FA4313">
        <w:rPr>
          <w:rFonts w:ascii="Times New Roman" w:hAnsi="Times New Roman" w:cs="Times New Roman"/>
          <w:color w:val="000000" w:themeColor="text1"/>
          <w:sz w:val="24"/>
          <w:szCs w:val="24"/>
        </w:rPr>
        <w:t xml:space="preserve"> </w:t>
      </w:r>
      <w:r w:rsidR="00144CDC" w:rsidRPr="00FA4313">
        <w:rPr>
          <w:rFonts w:ascii="Times New Roman" w:hAnsi="Times New Roman" w:cs="Times New Roman"/>
          <w:color w:val="000000" w:themeColor="text1"/>
          <w:sz w:val="24"/>
          <w:szCs w:val="24"/>
        </w:rPr>
        <w:t xml:space="preserve">a </w:t>
      </w:r>
      <w:r w:rsidR="008C6E31" w:rsidRPr="00FA4313">
        <w:rPr>
          <w:rFonts w:ascii="Times New Roman" w:hAnsi="Times New Roman" w:cs="Times New Roman"/>
          <w:color w:val="000000" w:themeColor="text1"/>
          <w:sz w:val="24"/>
          <w:szCs w:val="24"/>
        </w:rPr>
        <w:t xml:space="preserve">benchmarking study with a selection of 25 container ports that compares cargo dues, terminal handling charges and marine services. </w:t>
      </w:r>
      <w:r w:rsidR="008C6E31" w:rsidRPr="00FA4313">
        <w:rPr>
          <w:rFonts w:ascii="Times New Roman" w:hAnsi="Times New Roman" w:cs="Times New Roman"/>
          <w:sz w:val="24"/>
          <w:szCs w:val="24"/>
        </w:rPr>
        <w:t xml:space="preserve">The benchmarking </w:t>
      </w:r>
      <w:r w:rsidR="0072032C" w:rsidRPr="00FA4313">
        <w:rPr>
          <w:rFonts w:ascii="Times New Roman" w:hAnsi="Times New Roman" w:cs="Times New Roman"/>
          <w:sz w:val="24"/>
          <w:szCs w:val="24"/>
        </w:rPr>
        <w:t>exercise use</w:t>
      </w:r>
      <w:r w:rsidR="00F51382" w:rsidRPr="00FA4313">
        <w:rPr>
          <w:rFonts w:ascii="Times New Roman" w:hAnsi="Times New Roman" w:cs="Times New Roman"/>
          <w:sz w:val="24"/>
          <w:szCs w:val="24"/>
        </w:rPr>
        <w:t>d</w:t>
      </w:r>
      <w:r w:rsidR="0072032C" w:rsidRPr="00FA4313">
        <w:rPr>
          <w:rFonts w:ascii="Times New Roman" w:hAnsi="Times New Roman" w:cs="Times New Roman"/>
          <w:sz w:val="24"/>
          <w:szCs w:val="24"/>
        </w:rPr>
        <w:t xml:space="preserve"> a standard</w:t>
      </w:r>
      <w:r w:rsidR="002153B3" w:rsidRPr="00FA4313">
        <w:rPr>
          <w:rFonts w:ascii="Times New Roman" w:hAnsi="Times New Roman" w:cs="Times New Roman"/>
          <w:sz w:val="24"/>
          <w:szCs w:val="24"/>
        </w:rPr>
        <w:t xml:space="preserve">ised </w:t>
      </w:r>
      <w:r w:rsidR="008C6E31" w:rsidRPr="00FA4313">
        <w:rPr>
          <w:rFonts w:ascii="Times New Roman" w:hAnsi="Times New Roman" w:cs="Times New Roman"/>
          <w:sz w:val="24"/>
          <w:szCs w:val="24"/>
        </w:rPr>
        <w:t xml:space="preserve">container vessel </w:t>
      </w:r>
      <w:r w:rsidR="0072032C" w:rsidRPr="00FA4313">
        <w:rPr>
          <w:rFonts w:ascii="Times New Roman" w:hAnsi="Times New Roman" w:cs="Times New Roman"/>
          <w:sz w:val="24"/>
          <w:szCs w:val="24"/>
        </w:rPr>
        <w:t>t</w:t>
      </w:r>
      <w:r w:rsidR="008C6E31" w:rsidRPr="00FA4313">
        <w:rPr>
          <w:rFonts w:ascii="Times New Roman" w:hAnsi="Times New Roman" w:cs="Times New Roman"/>
          <w:sz w:val="24"/>
          <w:szCs w:val="24"/>
        </w:rPr>
        <w:t>o calculate vessel calling cost</w:t>
      </w:r>
      <w:r w:rsidR="0072032C" w:rsidRPr="00FA4313">
        <w:rPr>
          <w:rFonts w:ascii="Times New Roman" w:hAnsi="Times New Roman" w:cs="Times New Roman"/>
          <w:sz w:val="24"/>
          <w:szCs w:val="24"/>
        </w:rPr>
        <w:t xml:space="preserve">s </w:t>
      </w:r>
      <w:r w:rsidR="002153B3" w:rsidRPr="00FA4313">
        <w:rPr>
          <w:rFonts w:ascii="Times New Roman" w:hAnsi="Times New Roman" w:cs="Times New Roman"/>
          <w:sz w:val="24"/>
          <w:szCs w:val="24"/>
        </w:rPr>
        <w:t xml:space="preserve">on 1 April 2020. It assumes </w:t>
      </w:r>
      <w:r w:rsidR="0072032C" w:rsidRPr="00FA4313">
        <w:rPr>
          <w:rFonts w:ascii="Times New Roman" w:hAnsi="Times New Roman" w:cs="Times New Roman"/>
          <w:sz w:val="24"/>
          <w:szCs w:val="24"/>
        </w:rPr>
        <w:t xml:space="preserve">an average turn-around time of 32 hours and a </w:t>
      </w:r>
      <w:r w:rsidR="008C6E31" w:rsidRPr="00FA4313">
        <w:rPr>
          <w:rFonts w:ascii="Times New Roman" w:hAnsi="Times New Roman" w:cs="Times New Roman"/>
          <w:sz w:val="24"/>
          <w:szCs w:val="24"/>
        </w:rPr>
        <w:t xml:space="preserve">parcel size of 1 853 TEUs (a combination of full and empty for deep sea, coastwise, and </w:t>
      </w:r>
      <w:r w:rsidR="00F51382" w:rsidRPr="00FA4313">
        <w:rPr>
          <w:rFonts w:ascii="Times New Roman" w:hAnsi="Times New Roman" w:cs="Times New Roman"/>
          <w:sz w:val="24"/>
          <w:szCs w:val="24"/>
        </w:rPr>
        <w:t>transhipment</w:t>
      </w:r>
      <w:r w:rsidR="008C6E31" w:rsidRPr="00FA4313">
        <w:rPr>
          <w:rFonts w:ascii="Times New Roman" w:hAnsi="Times New Roman" w:cs="Times New Roman"/>
          <w:sz w:val="24"/>
          <w:szCs w:val="24"/>
        </w:rPr>
        <w:t>)</w:t>
      </w:r>
      <w:r w:rsidR="0072032C" w:rsidRPr="00FA4313">
        <w:rPr>
          <w:rFonts w:ascii="Times New Roman" w:hAnsi="Times New Roman" w:cs="Times New Roman"/>
          <w:sz w:val="24"/>
          <w:szCs w:val="24"/>
        </w:rPr>
        <w:t>.</w:t>
      </w:r>
      <w:r w:rsidR="00C16B4E" w:rsidRPr="00FA4313">
        <w:rPr>
          <w:rFonts w:ascii="Times New Roman" w:hAnsi="Times New Roman" w:cs="Times New Roman"/>
          <w:sz w:val="24"/>
          <w:szCs w:val="24"/>
        </w:rPr>
        <w:t xml:space="preserve"> </w:t>
      </w:r>
      <w:r w:rsidR="00F51382" w:rsidRPr="00FA4313">
        <w:rPr>
          <w:rFonts w:ascii="Times New Roman" w:hAnsi="Times New Roman" w:cs="Times New Roman"/>
          <w:sz w:val="24"/>
          <w:szCs w:val="24"/>
        </w:rPr>
        <w:t>The study</w:t>
      </w:r>
      <w:r w:rsidR="00C16B4E" w:rsidRPr="00FA4313">
        <w:rPr>
          <w:rFonts w:ascii="Times New Roman" w:hAnsi="Times New Roman" w:cs="Times New Roman"/>
          <w:sz w:val="24"/>
          <w:szCs w:val="24"/>
        </w:rPr>
        <w:t xml:space="preserve"> is useful in monitoring and shaping expectations about the trajectory of port authority pricing in South Africa.</w:t>
      </w:r>
      <w:r w:rsidR="007532C0" w:rsidRPr="00FA4313">
        <w:rPr>
          <w:rFonts w:ascii="Times New Roman" w:hAnsi="Times New Roman" w:cs="Times New Roman"/>
          <w:sz w:val="24"/>
          <w:szCs w:val="24"/>
        </w:rPr>
        <w:t xml:space="preserve"> </w:t>
      </w:r>
      <w:r w:rsidR="004401E4" w:rsidRPr="00FA4313">
        <w:rPr>
          <w:rFonts w:ascii="Times New Roman" w:hAnsi="Times New Roman" w:cs="Times New Roman"/>
          <w:sz w:val="24"/>
          <w:szCs w:val="24"/>
        </w:rPr>
        <w:t>Of the total cost to move a TEU through a South African port, terminal handling charges contribute 66%, cargo dues contribute 29%, and marine charges contribute 5%</w:t>
      </w:r>
      <w:r w:rsidR="00097E7A" w:rsidRPr="00FA4313">
        <w:rPr>
          <w:rFonts w:ascii="Times New Roman" w:hAnsi="Times New Roman" w:cs="Times New Roman"/>
          <w:sz w:val="24"/>
          <w:szCs w:val="24"/>
        </w:rPr>
        <w:t xml:space="preserve"> (</w:t>
      </w:r>
      <w:r w:rsidR="00E963BC" w:rsidRPr="00FA4313">
        <w:rPr>
          <w:rFonts w:ascii="Times New Roman" w:hAnsi="Times New Roman" w:cs="Times New Roman"/>
          <w:sz w:val="24"/>
          <w:szCs w:val="24"/>
        </w:rPr>
        <w:t>PRSA</w:t>
      </w:r>
      <w:r w:rsidR="00097E7A" w:rsidRPr="00FA4313">
        <w:rPr>
          <w:rFonts w:ascii="Times New Roman" w:hAnsi="Times New Roman" w:cs="Times New Roman"/>
          <w:sz w:val="24"/>
          <w:szCs w:val="24"/>
        </w:rPr>
        <w:t>, 2021)</w:t>
      </w:r>
      <w:r w:rsidR="004401E4" w:rsidRPr="00FA4313">
        <w:rPr>
          <w:rFonts w:ascii="Times New Roman" w:hAnsi="Times New Roman" w:cs="Times New Roman"/>
          <w:sz w:val="24"/>
          <w:szCs w:val="24"/>
        </w:rPr>
        <w:t>.</w:t>
      </w:r>
      <w:r w:rsidR="007532C0" w:rsidRPr="00FA4313">
        <w:rPr>
          <w:rFonts w:ascii="Times New Roman" w:hAnsi="Times New Roman" w:cs="Times New Roman"/>
          <w:sz w:val="24"/>
          <w:szCs w:val="24"/>
        </w:rPr>
        <w:t xml:space="preserve"> </w:t>
      </w:r>
      <w:r w:rsidR="00DA036B" w:rsidRPr="00FA4313">
        <w:rPr>
          <w:rFonts w:ascii="Times New Roman" w:hAnsi="Times New Roman" w:cs="Times New Roman"/>
          <w:color w:val="000000" w:themeColor="text1"/>
          <w:sz w:val="24"/>
          <w:szCs w:val="24"/>
        </w:rPr>
        <w:t xml:space="preserve">PRSA (2021) shows that South Africa’s marine charges are 44% below the </w:t>
      </w:r>
      <w:r w:rsidR="00F00489" w:rsidRPr="00FA4313">
        <w:rPr>
          <w:rFonts w:ascii="Times New Roman" w:hAnsi="Times New Roman" w:cs="Times New Roman"/>
          <w:color w:val="000000" w:themeColor="text1"/>
          <w:sz w:val="24"/>
          <w:szCs w:val="24"/>
        </w:rPr>
        <w:t xml:space="preserve">benchmarked </w:t>
      </w:r>
      <w:r w:rsidR="00DA036B" w:rsidRPr="00FA4313">
        <w:rPr>
          <w:rFonts w:ascii="Times New Roman" w:hAnsi="Times New Roman" w:cs="Times New Roman"/>
          <w:color w:val="000000" w:themeColor="text1"/>
          <w:sz w:val="24"/>
          <w:szCs w:val="24"/>
        </w:rPr>
        <w:t>sample average.</w:t>
      </w:r>
      <w:r w:rsidR="00D97DE4" w:rsidRPr="00FA4313">
        <w:rPr>
          <w:rFonts w:ascii="Times New Roman" w:hAnsi="Times New Roman" w:cs="Times New Roman"/>
          <w:color w:val="000000" w:themeColor="text1"/>
          <w:sz w:val="24"/>
          <w:szCs w:val="24"/>
        </w:rPr>
        <w:t xml:space="preserve"> </w:t>
      </w:r>
      <w:r w:rsidR="00DA036B" w:rsidRPr="00FA4313">
        <w:rPr>
          <w:rFonts w:ascii="Times New Roman" w:hAnsi="Times New Roman" w:cs="Times New Roman"/>
          <w:color w:val="000000" w:themeColor="text1"/>
          <w:sz w:val="24"/>
          <w:szCs w:val="24"/>
        </w:rPr>
        <w:t>In stark contrast, terminal handling charges are 55% above the average</w:t>
      </w:r>
      <w:r w:rsidR="007532C0" w:rsidRPr="00FA4313">
        <w:rPr>
          <w:rFonts w:ascii="Times New Roman" w:hAnsi="Times New Roman" w:cs="Times New Roman"/>
          <w:color w:val="000000" w:themeColor="text1"/>
          <w:sz w:val="24"/>
          <w:szCs w:val="24"/>
        </w:rPr>
        <w:t xml:space="preserve"> and cargo dues are 166% above the average</w:t>
      </w:r>
      <w:r w:rsidR="00DA036B" w:rsidRPr="00FA4313">
        <w:rPr>
          <w:rFonts w:ascii="Times New Roman" w:hAnsi="Times New Roman" w:cs="Times New Roman"/>
          <w:color w:val="000000" w:themeColor="text1"/>
          <w:sz w:val="24"/>
          <w:szCs w:val="24"/>
        </w:rPr>
        <w:t xml:space="preserve">. </w:t>
      </w:r>
      <w:r w:rsidR="007532C0" w:rsidRPr="00FA4313">
        <w:rPr>
          <w:rFonts w:ascii="Times New Roman" w:hAnsi="Times New Roman" w:cs="Times New Roman"/>
          <w:color w:val="000000" w:themeColor="text1"/>
          <w:sz w:val="24"/>
          <w:szCs w:val="24"/>
        </w:rPr>
        <w:t>Total p</w:t>
      </w:r>
      <w:r w:rsidR="00DA036B" w:rsidRPr="00FA4313">
        <w:rPr>
          <w:rFonts w:ascii="Times New Roman" w:hAnsi="Times New Roman" w:cs="Times New Roman"/>
          <w:color w:val="000000" w:themeColor="text1"/>
          <w:sz w:val="24"/>
          <w:szCs w:val="24"/>
        </w:rPr>
        <w:t>ort authority pricing, that includes marine services and cargo dues, is 69% above the sample average.</w:t>
      </w:r>
      <w:r w:rsidR="00A370F9" w:rsidRPr="00FA4313">
        <w:rPr>
          <w:rFonts w:ascii="Times New Roman" w:hAnsi="Times New Roman" w:cs="Times New Roman"/>
          <w:color w:val="000000" w:themeColor="text1"/>
          <w:sz w:val="24"/>
          <w:szCs w:val="24"/>
        </w:rPr>
        <w:t xml:space="preserve"> PRSA only regulates the NPA and not </w:t>
      </w:r>
      <w:r w:rsidR="00BA4DEB" w:rsidRPr="00FA4313">
        <w:rPr>
          <w:rFonts w:ascii="Times New Roman" w:hAnsi="Times New Roman" w:cs="Times New Roman"/>
          <w:color w:val="000000" w:themeColor="text1"/>
          <w:sz w:val="24"/>
          <w:szCs w:val="24"/>
        </w:rPr>
        <w:t xml:space="preserve">Transnet Port Terminals. Therefore, only the NPA charges are under price regulation. </w:t>
      </w:r>
    </w:p>
    <w:p w14:paraId="2ECE9157" w14:textId="4D688EDD" w:rsidR="00B346E6" w:rsidRPr="00FA4313" w:rsidRDefault="007C7AFD" w:rsidP="00FA4313">
      <w:pPr>
        <w:spacing w:after="0" w:line="240" w:lineRule="auto"/>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The total vessel calling costs (including marine charges, cargo dues and terminal handling charges for containers) decreased from 360% above the benchmarked average in 2012/13 to 65% above the average in 2020/21. Despite the reduction, overall port charges are higher than the average and “remain excessive… indicating that the South African container ports (Durban and Cape Town) remain amongst the most expensive against the sample despite the sizable reduction in container cargo dues in recent years.” (PRSA, 2021, p. 19).</w:t>
      </w:r>
    </w:p>
    <w:p w14:paraId="45AA89A0" w14:textId="77777777" w:rsidR="00F51382" w:rsidRPr="00FA4313" w:rsidRDefault="0033669E" w:rsidP="00FA4313">
      <w:pPr>
        <w:autoSpaceDE w:val="0"/>
        <w:autoSpaceDN w:val="0"/>
        <w:adjustRightInd w:val="0"/>
        <w:spacing w:after="0" w:line="240" w:lineRule="auto"/>
        <w:jc w:val="both"/>
        <w:rPr>
          <w:rFonts w:ascii="Times New Roman" w:hAnsi="Times New Roman" w:cs="Times New Roman"/>
          <w:sz w:val="24"/>
          <w:szCs w:val="24"/>
        </w:rPr>
      </w:pPr>
      <w:r w:rsidRPr="00FA4313">
        <w:rPr>
          <w:rFonts w:ascii="Times New Roman" w:hAnsi="Times New Roman" w:cs="Times New Roman"/>
          <w:color w:val="000000" w:themeColor="text1"/>
          <w:sz w:val="24"/>
          <w:szCs w:val="24"/>
        </w:rPr>
        <w:t>In terms of cargo dues, c</w:t>
      </w:r>
      <w:r w:rsidR="00A12DA2" w:rsidRPr="00FA4313">
        <w:rPr>
          <w:rFonts w:ascii="Times New Roman" w:hAnsi="Times New Roman" w:cs="Times New Roman"/>
          <w:color w:val="000000" w:themeColor="text1"/>
          <w:sz w:val="24"/>
          <w:szCs w:val="24"/>
        </w:rPr>
        <w:t xml:space="preserve">ompared to the benchmarked sample average tariff of US$ 32 7835, South Africa’s ports ranked as 166% more expensive than this average. PRSA (2021, p. 15) explain that “this is an improvement to the 2019 deviation of 233% and a significant improvement to the 2012 tariff where cargo dues were 874% higher than the global sample average. </w:t>
      </w:r>
      <w:r w:rsidR="00A44403" w:rsidRPr="00FA4313">
        <w:rPr>
          <w:rFonts w:ascii="Times New Roman" w:hAnsi="Times New Roman" w:cs="Times New Roman"/>
          <w:sz w:val="24"/>
          <w:szCs w:val="24"/>
        </w:rPr>
        <w:t xml:space="preserve">At full implementation of the Tariff Strategy, the cost reflective tariff for containers (as denoted by </w:t>
      </w:r>
      <w:r w:rsidR="00766523" w:rsidRPr="00FA4313">
        <w:rPr>
          <w:rFonts w:ascii="Times New Roman" w:hAnsi="Times New Roman" w:cs="Times New Roman"/>
          <w:sz w:val="24"/>
          <w:szCs w:val="24"/>
        </w:rPr>
        <w:t xml:space="preserve">the </w:t>
      </w:r>
      <w:r w:rsidR="00A44403" w:rsidRPr="00FA4313">
        <w:rPr>
          <w:rFonts w:ascii="Times New Roman" w:hAnsi="Times New Roman" w:cs="Times New Roman"/>
          <w:sz w:val="24"/>
          <w:szCs w:val="24"/>
        </w:rPr>
        <w:t>D</w:t>
      </w:r>
      <w:r w:rsidR="00E26F89" w:rsidRPr="00FA4313">
        <w:rPr>
          <w:rFonts w:ascii="Times New Roman" w:hAnsi="Times New Roman" w:cs="Times New Roman"/>
          <w:sz w:val="24"/>
          <w:szCs w:val="24"/>
        </w:rPr>
        <w:t>urban</w:t>
      </w:r>
      <w:r w:rsidR="00A44403" w:rsidRPr="00FA4313">
        <w:rPr>
          <w:rFonts w:ascii="Times New Roman" w:hAnsi="Times New Roman" w:cs="Times New Roman"/>
          <w:sz w:val="24"/>
          <w:szCs w:val="24"/>
        </w:rPr>
        <w:t xml:space="preserve"> target tariff) will be 36% below the global sample average, in today’s terms</w:t>
      </w:r>
      <w:r w:rsidR="00C16B4E" w:rsidRPr="00FA4313">
        <w:rPr>
          <w:rFonts w:ascii="Times New Roman" w:hAnsi="Times New Roman" w:cs="Times New Roman"/>
          <w:sz w:val="24"/>
          <w:szCs w:val="24"/>
        </w:rPr>
        <w:t>.”</w:t>
      </w:r>
      <w:r w:rsidR="00263B8B" w:rsidRPr="00FA4313">
        <w:rPr>
          <w:rFonts w:ascii="Times New Roman" w:hAnsi="Times New Roman" w:cs="Times New Roman"/>
          <w:sz w:val="24"/>
          <w:szCs w:val="24"/>
        </w:rPr>
        <w:t xml:space="preserve"> </w:t>
      </w:r>
    </w:p>
    <w:p w14:paraId="416A7C55" w14:textId="77777777" w:rsidR="00792084" w:rsidRPr="00FA4313" w:rsidRDefault="00263B8B" w:rsidP="00FA4313">
      <w:pPr>
        <w:autoSpaceDE w:val="0"/>
        <w:autoSpaceDN w:val="0"/>
        <w:adjustRightInd w:val="0"/>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Gumede and </w:t>
      </w:r>
      <w:proofErr w:type="spellStart"/>
      <w:r w:rsidRPr="00FA4313">
        <w:rPr>
          <w:rFonts w:ascii="Times New Roman" w:hAnsi="Times New Roman" w:cs="Times New Roman"/>
          <w:sz w:val="24"/>
          <w:szCs w:val="24"/>
        </w:rPr>
        <w:t>Chasomeris</w:t>
      </w:r>
      <w:proofErr w:type="spellEnd"/>
      <w:r w:rsidRPr="00FA4313">
        <w:rPr>
          <w:rFonts w:ascii="Times New Roman" w:hAnsi="Times New Roman" w:cs="Times New Roman"/>
          <w:sz w:val="24"/>
          <w:szCs w:val="24"/>
        </w:rPr>
        <w:t xml:space="preserve"> (2018) </w:t>
      </w:r>
      <w:r w:rsidR="00993C9A" w:rsidRPr="00FA4313">
        <w:rPr>
          <w:rFonts w:ascii="Times New Roman" w:hAnsi="Times New Roman" w:cs="Times New Roman"/>
          <w:sz w:val="24"/>
          <w:szCs w:val="24"/>
        </w:rPr>
        <w:t xml:space="preserve">show that the reason for such excessively high cargo dues was largely because of the legacy of </w:t>
      </w:r>
      <w:r w:rsidR="00993C9A" w:rsidRPr="00FA4313">
        <w:rPr>
          <w:rFonts w:ascii="Times New Roman" w:hAnsi="Times New Roman" w:cs="Times New Roman"/>
          <w:i/>
          <w:sz w:val="24"/>
          <w:szCs w:val="24"/>
        </w:rPr>
        <w:t>ad valorem</w:t>
      </w:r>
      <w:r w:rsidR="00993C9A" w:rsidRPr="00FA4313">
        <w:rPr>
          <w:rFonts w:ascii="Times New Roman" w:hAnsi="Times New Roman" w:cs="Times New Roman"/>
          <w:sz w:val="24"/>
          <w:szCs w:val="24"/>
        </w:rPr>
        <w:t xml:space="preserve"> wharfage, that was abolished in 2002, but continues to </w:t>
      </w:r>
      <w:r w:rsidR="008E7907" w:rsidRPr="00FA4313">
        <w:rPr>
          <w:rFonts w:ascii="Times New Roman" w:hAnsi="Times New Roman" w:cs="Times New Roman"/>
          <w:sz w:val="24"/>
          <w:szCs w:val="24"/>
        </w:rPr>
        <w:t xml:space="preserve">affect the tariff structure. </w:t>
      </w:r>
      <w:r w:rsidR="00CC2A40" w:rsidRPr="00FA4313">
        <w:rPr>
          <w:rFonts w:ascii="Times New Roman" w:hAnsi="Times New Roman" w:cs="Times New Roman"/>
          <w:sz w:val="24"/>
          <w:szCs w:val="24"/>
        </w:rPr>
        <w:t>Consequently, there is still cross subsidisation between commodities where automotive and containers appear to cross subsidise bulk and breakbulk cargo handling. In addition, there is cross-subsidisation between user groups where cargo owners appear to cross subsidise port tenants and shipping lines</w:t>
      </w:r>
      <w:r w:rsidR="00831266" w:rsidRPr="00FA4313">
        <w:rPr>
          <w:rFonts w:ascii="Times New Roman" w:hAnsi="Times New Roman" w:cs="Times New Roman"/>
          <w:sz w:val="24"/>
          <w:szCs w:val="24"/>
        </w:rPr>
        <w:t xml:space="preserve"> (Gumede and </w:t>
      </w:r>
      <w:proofErr w:type="spellStart"/>
      <w:r w:rsidR="00831266" w:rsidRPr="00FA4313">
        <w:rPr>
          <w:rFonts w:ascii="Times New Roman" w:hAnsi="Times New Roman" w:cs="Times New Roman"/>
          <w:sz w:val="24"/>
          <w:szCs w:val="24"/>
        </w:rPr>
        <w:t>Chasomeris</w:t>
      </w:r>
      <w:proofErr w:type="spellEnd"/>
      <w:r w:rsidR="00831266" w:rsidRPr="00FA4313">
        <w:rPr>
          <w:rFonts w:ascii="Times New Roman" w:hAnsi="Times New Roman" w:cs="Times New Roman"/>
          <w:sz w:val="24"/>
          <w:szCs w:val="24"/>
        </w:rPr>
        <w:t>, 2018)</w:t>
      </w:r>
      <w:r w:rsidR="00CC2A40" w:rsidRPr="00FA4313">
        <w:rPr>
          <w:rFonts w:ascii="Times New Roman" w:hAnsi="Times New Roman" w:cs="Times New Roman"/>
          <w:sz w:val="24"/>
          <w:szCs w:val="24"/>
        </w:rPr>
        <w:t xml:space="preserve">. </w:t>
      </w:r>
      <w:r w:rsidR="00993C9A" w:rsidRPr="00FA4313">
        <w:rPr>
          <w:rFonts w:ascii="Times New Roman" w:hAnsi="Times New Roman" w:cs="Times New Roman"/>
          <w:sz w:val="24"/>
          <w:szCs w:val="24"/>
        </w:rPr>
        <w:t xml:space="preserve"> </w:t>
      </w:r>
    </w:p>
    <w:p w14:paraId="3CC58B31" w14:textId="77777777" w:rsidR="00A12DA2" w:rsidRPr="00FA4313" w:rsidRDefault="00596820" w:rsidP="00FA4313">
      <w:pPr>
        <w:autoSpaceDE w:val="0"/>
        <w:autoSpaceDN w:val="0"/>
        <w:adjustRightInd w:val="0"/>
        <w:spacing w:after="0" w:line="240" w:lineRule="auto"/>
        <w:jc w:val="both"/>
        <w:rPr>
          <w:rFonts w:ascii="Times New Roman" w:hAnsi="Times New Roman" w:cs="Times New Roman"/>
          <w:sz w:val="24"/>
          <w:szCs w:val="24"/>
        </w:rPr>
      </w:pPr>
      <w:r w:rsidRPr="00FA4313">
        <w:rPr>
          <w:rFonts w:ascii="Times New Roman" w:hAnsi="Times New Roman" w:cs="Times New Roman"/>
          <w:color w:val="000000" w:themeColor="text1"/>
          <w:sz w:val="24"/>
          <w:szCs w:val="24"/>
        </w:rPr>
        <w:t xml:space="preserve">So clearly, </w:t>
      </w:r>
      <w:r w:rsidR="003341D5" w:rsidRPr="00FA4313">
        <w:rPr>
          <w:rFonts w:ascii="Times New Roman" w:hAnsi="Times New Roman" w:cs="Times New Roman"/>
          <w:color w:val="000000" w:themeColor="text1"/>
          <w:sz w:val="24"/>
          <w:szCs w:val="24"/>
        </w:rPr>
        <w:t xml:space="preserve">there is </w:t>
      </w:r>
      <w:r w:rsidR="00400385" w:rsidRPr="00FA4313">
        <w:rPr>
          <w:rFonts w:ascii="Times New Roman" w:hAnsi="Times New Roman" w:cs="Times New Roman"/>
          <w:color w:val="000000" w:themeColor="text1"/>
          <w:sz w:val="24"/>
          <w:szCs w:val="24"/>
        </w:rPr>
        <w:t xml:space="preserve">a </w:t>
      </w:r>
      <w:r w:rsidR="003341D5" w:rsidRPr="00FA4313">
        <w:rPr>
          <w:rFonts w:ascii="Times New Roman" w:hAnsi="Times New Roman" w:cs="Times New Roman"/>
          <w:color w:val="000000" w:themeColor="text1"/>
          <w:sz w:val="24"/>
          <w:szCs w:val="24"/>
        </w:rPr>
        <w:t xml:space="preserve">desire and a </w:t>
      </w:r>
      <w:r w:rsidR="00400385" w:rsidRPr="00FA4313">
        <w:rPr>
          <w:rFonts w:ascii="Times New Roman" w:hAnsi="Times New Roman" w:cs="Times New Roman"/>
          <w:color w:val="000000" w:themeColor="text1"/>
          <w:sz w:val="24"/>
          <w:szCs w:val="24"/>
        </w:rPr>
        <w:t xml:space="preserve">need to reduce port authority charges, in particular cargo dues that are still 166% above the benchmarked mean and a need to </w:t>
      </w:r>
      <w:r w:rsidR="007A513A" w:rsidRPr="00FA4313">
        <w:rPr>
          <w:rFonts w:ascii="Times New Roman" w:hAnsi="Times New Roman" w:cs="Times New Roman"/>
          <w:color w:val="000000" w:themeColor="text1"/>
          <w:sz w:val="24"/>
          <w:szCs w:val="24"/>
        </w:rPr>
        <w:t xml:space="preserve">implement a tariff strategy that </w:t>
      </w:r>
      <w:r w:rsidR="00B66032" w:rsidRPr="00FA4313">
        <w:rPr>
          <w:rFonts w:ascii="Times New Roman" w:hAnsi="Times New Roman" w:cs="Times New Roman"/>
          <w:color w:val="000000" w:themeColor="text1"/>
          <w:sz w:val="24"/>
          <w:szCs w:val="24"/>
        </w:rPr>
        <w:t xml:space="preserve">continues to </w:t>
      </w:r>
      <w:r w:rsidR="00400385" w:rsidRPr="00FA4313">
        <w:rPr>
          <w:rFonts w:ascii="Times New Roman" w:hAnsi="Times New Roman" w:cs="Times New Roman"/>
          <w:color w:val="000000" w:themeColor="text1"/>
          <w:sz w:val="24"/>
          <w:szCs w:val="24"/>
        </w:rPr>
        <w:t xml:space="preserve">work towards the PRSA goal of </w:t>
      </w:r>
      <w:r w:rsidR="003341D5" w:rsidRPr="00FA4313">
        <w:rPr>
          <w:rFonts w:ascii="Times New Roman" w:hAnsi="Times New Roman" w:cs="Times New Roman"/>
          <w:color w:val="000000" w:themeColor="text1"/>
          <w:sz w:val="24"/>
          <w:szCs w:val="24"/>
        </w:rPr>
        <w:t>cargo dues</w:t>
      </w:r>
      <w:r w:rsidR="00400385" w:rsidRPr="00FA4313">
        <w:rPr>
          <w:rFonts w:ascii="Times New Roman" w:hAnsi="Times New Roman" w:cs="Times New Roman"/>
          <w:color w:val="000000" w:themeColor="text1"/>
          <w:sz w:val="24"/>
          <w:szCs w:val="24"/>
        </w:rPr>
        <w:t xml:space="preserve"> that are 36% below the </w:t>
      </w:r>
      <w:r w:rsidR="003341D5" w:rsidRPr="00FA4313">
        <w:rPr>
          <w:rFonts w:ascii="Times New Roman" w:hAnsi="Times New Roman" w:cs="Times New Roman"/>
          <w:color w:val="000000" w:themeColor="text1"/>
          <w:sz w:val="24"/>
          <w:szCs w:val="24"/>
        </w:rPr>
        <w:t>benchmarked</w:t>
      </w:r>
      <w:r w:rsidR="00400385" w:rsidRPr="00FA4313">
        <w:rPr>
          <w:rFonts w:ascii="Times New Roman" w:hAnsi="Times New Roman" w:cs="Times New Roman"/>
          <w:color w:val="000000" w:themeColor="text1"/>
          <w:sz w:val="24"/>
          <w:szCs w:val="24"/>
        </w:rPr>
        <w:t xml:space="preserve"> average. This article uses </w:t>
      </w:r>
      <w:r w:rsidR="00731679" w:rsidRPr="00FA4313">
        <w:rPr>
          <w:rFonts w:ascii="Times New Roman" w:hAnsi="Times New Roman" w:cs="Times New Roman"/>
          <w:color w:val="000000" w:themeColor="text1"/>
          <w:sz w:val="24"/>
          <w:szCs w:val="24"/>
        </w:rPr>
        <w:t>evidence-based</w:t>
      </w:r>
      <w:r w:rsidR="00400385" w:rsidRPr="00FA4313">
        <w:rPr>
          <w:rFonts w:ascii="Times New Roman" w:hAnsi="Times New Roman" w:cs="Times New Roman"/>
          <w:color w:val="000000" w:themeColor="text1"/>
          <w:sz w:val="24"/>
          <w:szCs w:val="24"/>
        </w:rPr>
        <w:t xml:space="preserve"> adjustments to RR model </w:t>
      </w:r>
      <w:r w:rsidR="00EE566D" w:rsidRPr="00FA4313">
        <w:rPr>
          <w:rFonts w:ascii="Times New Roman" w:hAnsi="Times New Roman" w:cs="Times New Roman"/>
          <w:color w:val="000000" w:themeColor="text1"/>
          <w:sz w:val="24"/>
          <w:szCs w:val="24"/>
        </w:rPr>
        <w:t xml:space="preserve">variable </w:t>
      </w:r>
      <w:r w:rsidR="007C59C1" w:rsidRPr="00FA4313">
        <w:rPr>
          <w:rFonts w:ascii="Times New Roman" w:hAnsi="Times New Roman" w:cs="Times New Roman"/>
          <w:color w:val="000000" w:themeColor="text1"/>
          <w:sz w:val="24"/>
          <w:szCs w:val="24"/>
        </w:rPr>
        <w:t>assumptions</w:t>
      </w:r>
      <w:r w:rsidR="00400385" w:rsidRPr="00FA4313">
        <w:rPr>
          <w:rFonts w:ascii="Times New Roman" w:hAnsi="Times New Roman" w:cs="Times New Roman"/>
          <w:color w:val="000000" w:themeColor="text1"/>
          <w:sz w:val="24"/>
          <w:szCs w:val="24"/>
        </w:rPr>
        <w:t xml:space="preserve"> </w:t>
      </w:r>
      <w:r w:rsidR="00EE566D" w:rsidRPr="00FA4313">
        <w:rPr>
          <w:rFonts w:ascii="Times New Roman" w:hAnsi="Times New Roman" w:cs="Times New Roman"/>
          <w:color w:val="000000" w:themeColor="text1"/>
          <w:sz w:val="24"/>
          <w:szCs w:val="24"/>
        </w:rPr>
        <w:t xml:space="preserve">and shows (calculates) </w:t>
      </w:r>
      <w:r w:rsidR="00400385" w:rsidRPr="00FA4313">
        <w:rPr>
          <w:rFonts w:ascii="Times New Roman" w:hAnsi="Times New Roman" w:cs="Times New Roman"/>
          <w:color w:val="000000" w:themeColor="text1"/>
          <w:sz w:val="24"/>
          <w:szCs w:val="24"/>
        </w:rPr>
        <w:t xml:space="preserve">how the NPA </w:t>
      </w:r>
      <w:r w:rsidR="00731679" w:rsidRPr="00FA4313">
        <w:rPr>
          <w:rFonts w:ascii="Times New Roman" w:hAnsi="Times New Roman" w:cs="Times New Roman"/>
          <w:color w:val="000000" w:themeColor="text1"/>
          <w:sz w:val="24"/>
          <w:szCs w:val="24"/>
        </w:rPr>
        <w:t xml:space="preserve">cargo dues </w:t>
      </w:r>
      <w:r w:rsidR="00400385" w:rsidRPr="00FA4313">
        <w:rPr>
          <w:rFonts w:ascii="Times New Roman" w:hAnsi="Times New Roman" w:cs="Times New Roman"/>
          <w:color w:val="000000" w:themeColor="text1"/>
          <w:sz w:val="24"/>
          <w:szCs w:val="24"/>
        </w:rPr>
        <w:t xml:space="preserve">can and should be further reduced. </w:t>
      </w:r>
    </w:p>
    <w:p w14:paraId="01799E10" w14:textId="77777777" w:rsidR="00F56894" w:rsidRPr="00FA4313" w:rsidRDefault="00F56894" w:rsidP="00FA4313">
      <w:pPr>
        <w:spacing w:after="0" w:line="240" w:lineRule="auto"/>
        <w:jc w:val="both"/>
        <w:rPr>
          <w:rFonts w:ascii="Times New Roman" w:hAnsi="Times New Roman" w:cs="Times New Roman"/>
          <w:sz w:val="24"/>
          <w:szCs w:val="24"/>
        </w:rPr>
      </w:pPr>
    </w:p>
    <w:p w14:paraId="31B17553" w14:textId="055C8418" w:rsidR="00F20CD3" w:rsidRPr="00FA4313" w:rsidRDefault="00F20CD3" w:rsidP="00FA4313">
      <w:pPr>
        <w:pStyle w:val="ListParagraph"/>
        <w:numPr>
          <w:ilvl w:val="0"/>
          <w:numId w:val="1"/>
        </w:numPr>
        <w:spacing w:after="0" w:line="240" w:lineRule="auto"/>
        <w:ind w:left="284" w:hanging="284"/>
        <w:jc w:val="both"/>
        <w:rPr>
          <w:rFonts w:ascii="Times New Roman" w:hAnsi="Times New Roman" w:cs="Times New Roman"/>
          <w:b/>
          <w:sz w:val="24"/>
          <w:szCs w:val="24"/>
        </w:rPr>
      </w:pPr>
      <w:r w:rsidRPr="00FA4313">
        <w:rPr>
          <w:rFonts w:ascii="Times New Roman" w:hAnsi="Times New Roman" w:cs="Times New Roman"/>
          <w:b/>
          <w:sz w:val="24"/>
          <w:szCs w:val="24"/>
        </w:rPr>
        <w:t>Revenue Required Methodology</w:t>
      </w:r>
      <w:r w:rsidR="005F425F" w:rsidRPr="00FA4313">
        <w:rPr>
          <w:rFonts w:ascii="Times New Roman" w:hAnsi="Times New Roman" w:cs="Times New Roman"/>
          <w:b/>
          <w:sz w:val="24"/>
          <w:szCs w:val="24"/>
        </w:rPr>
        <w:t xml:space="preserve"> in Context</w:t>
      </w:r>
    </w:p>
    <w:p w14:paraId="494434BB" w14:textId="77777777" w:rsidR="00481556" w:rsidRPr="00FA4313" w:rsidRDefault="00481556" w:rsidP="00FA4313">
      <w:pPr>
        <w:pStyle w:val="ListParagraph"/>
        <w:spacing w:after="0" w:line="240" w:lineRule="auto"/>
        <w:ind w:left="284"/>
        <w:jc w:val="both"/>
        <w:rPr>
          <w:rFonts w:ascii="Times New Roman" w:hAnsi="Times New Roman" w:cs="Times New Roman"/>
          <w:b/>
          <w:sz w:val="24"/>
          <w:szCs w:val="24"/>
        </w:rPr>
      </w:pPr>
    </w:p>
    <w:p w14:paraId="7FEEBCC1" w14:textId="6CA643F1" w:rsidR="00970821"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The NPA and PRSA have agreed to use a rate of return methodology referred to as the Revenue Required (RR) model. Annually, there is a tariff adjustment application by the NPA to the PRSA. Since 2009/10, the </w:t>
      </w:r>
      <w:r w:rsidRPr="00FA4313">
        <w:rPr>
          <w:rFonts w:ascii="Times New Roman" w:hAnsi="Times New Roman" w:cs="Times New Roman"/>
          <w:sz w:val="24"/>
          <w:szCs w:val="24"/>
        </w:rPr>
        <w:lastRenderedPageBreak/>
        <w:t>PRSA invites port users and other interested parties like industry representatives, government departments and academia to provide comments o</w:t>
      </w:r>
      <w:r w:rsidR="000E0FB1" w:rsidRPr="00FA4313">
        <w:rPr>
          <w:rFonts w:ascii="Times New Roman" w:hAnsi="Times New Roman" w:cs="Times New Roman"/>
          <w:sz w:val="24"/>
          <w:szCs w:val="24"/>
        </w:rPr>
        <w:t>n</w:t>
      </w:r>
      <w:r w:rsidRPr="00FA4313">
        <w:rPr>
          <w:rFonts w:ascii="Times New Roman" w:hAnsi="Times New Roman" w:cs="Times New Roman"/>
          <w:sz w:val="24"/>
          <w:szCs w:val="24"/>
        </w:rPr>
        <w:t xml:space="preserve"> the tariff applications. The PRSA do their own analyses and research, considers the application and comments and then decides on what tariff (price) adjustments to allowed for the following financial year starting in April. </w:t>
      </w:r>
    </w:p>
    <w:p w14:paraId="04CC2806" w14:textId="77777777" w:rsidR="00E9220A" w:rsidRPr="00FA4313" w:rsidRDefault="00970821"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In South Africa, the South African Reserve Bank uses inflation targeting and aims to keep inflation as measured by the consumer price index (CPI) between 3 and 6%. The PRSA aims to keep NPA price increases below the upper band of 6%. In most years PRSA has been able to use the RR model to ensure weighted average tariff adjustments that are below 6%. </w:t>
      </w:r>
    </w:p>
    <w:p w14:paraId="27281944" w14:textId="1FE35E72"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The formula for the RR, as per the Port Tariff Methodology of the Ports Regulator for Tariff Years 2018/19 – 2020/21 (</w:t>
      </w:r>
      <w:bookmarkStart w:id="2" w:name="_Hlk97200711"/>
      <w:r w:rsidRPr="00FA4313">
        <w:rPr>
          <w:rFonts w:ascii="Times New Roman" w:hAnsi="Times New Roman" w:cs="Times New Roman"/>
          <w:sz w:val="24"/>
          <w:szCs w:val="24"/>
        </w:rPr>
        <w:t>Ports Regulator of South Africa, 2017</w:t>
      </w:r>
      <w:r w:rsidR="00B8445C" w:rsidRPr="00FA4313">
        <w:rPr>
          <w:rFonts w:ascii="Times New Roman" w:hAnsi="Times New Roman" w:cs="Times New Roman"/>
          <w:sz w:val="24"/>
          <w:szCs w:val="24"/>
        </w:rPr>
        <w:t xml:space="preserve">: </w:t>
      </w:r>
      <w:r w:rsidRPr="00FA4313">
        <w:rPr>
          <w:rFonts w:ascii="Times New Roman" w:hAnsi="Times New Roman" w:cs="Times New Roman"/>
          <w:sz w:val="24"/>
          <w:szCs w:val="24"/>
        </w:rPr>
        <w:t>7</w:t>
      </w:r>
      <w:bookmarkEnd w:id="2"/>
      <w:r w:rsidRPr="00FA4313">
        <w:rPr>
          <w:rFonts w:ascii="Times New Roman" w:hAnsi="Times New Roman" w:cs="Times New Roman"/>
          <w:sz w:val="24"/>
          <w:szCs w:val="24"/>
        </w:rPr>
        <w:t>), is as follows:</w:t>
      </w:r>
    </w:p>
    <w:p w14:paraId="70AB09DD" w14:textId="77777777" w:rsidR="00C81362" w:rsidRPr="00FA4313" w:rsidRDefault="00C81362" w:rsidP="00FA4313">
      <w:pPr>
        <w:spacing w:after="0" w:line="240" w:lineRule="auto"/>
        <w:jc w:val="both"/>
        <w:rPr>
          <w:rFonts w:ascii="Times New Roman" w:hAnsi="Times New Roman" w:cs="Times New Roman"/>
          <w:sz w:val="24"/>
          <w:szCs w:val="24"/>
        </w:rPr>
      </w:pPr>
    </w:p>
    <w:p w14:paraId="485E0A30" w14:textId="38646C5F" w:rsidR="00E9220A" w:rsidRDefault="00A656F0" w:rsidP="00FA4313">
      <w:pPr>
        <w:spacing w:after="0" w:line="240" w:lineRule="auto"/>
        <w:jc w:val="both"/>
        <w:rPr>
          <w:rFonts w:ascii="Times New Roman" w:hAnsi="Times New Roman" w:cs="Times New Roman"/>
          <w:sz w:val="24"/>
          <w:szCs w:val="24"/>
          <w:lang w:val="de-DE"/>
        </w:rPr>
      </w:pPr>
      <w:r w:rsidRPr="00FA4313">
        <w:rPr>
          <w:rFonts w:ascii="Times New Roman" w:hAnsi="Times New Roman" w:cs="Times New Roman"/>
          <w:sz w:val="24"/>
          <w:szCs w:val="24"/>
          <w:lang w:val="de-DE"/>
        </w:rPr>
        <w:t>RR = (v – d + w) r + D + E + T ± C ± ETIMC ± WEGO ………………………(1)</w:t>
      </w:r>
    </w:p>
    <w:p w14:paraId="7F9E3F77" w14:textId="77777777" w:rsidR="0029616D" w:rsidRPr="00FA4313" w:rsidRDefault="0029616D" w:rsidP="00FA4313">
      <w:pPr>
        <w:spacing w:after="0" w:line="240" w:lineRule="auto"/>
        <w:jc w:val="both"/>
        <w:rPr>
          <w:rFonts w:ascii="Times New Roman" w:hAnsi="Times New Roman" w:cs="Times New Roman"/>
          <w:sz w:val="24"/>
          <w:szCs w:val="24"/>
          <w:lang w:val="de-DE"/>
        </w:rPr>
      </w:pPr>
    </w:p>
    <w:p w14:paraId="5AB9AE06" w14:textId="096B3379"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Where: RR = Revenue Required;  v = Value of the assets used in the regulated services; d = Accumulated depreciation on such assets; w = Working Capital; r = Regulated Return on Capital; D = Depreciation accounted for in the period of the tariff; E = Operating costs (OPEX); T = Taxation expense; C = Claw-back; ETIMC = Excessive Tariff Increase Margin Credit; WEGO = Weighted Efficiency Gains from Operations; (v – d + w) = Regulated Asset Base. </w:t>
      </w:r>
      <w:r w:rsidR="00FE2183" w:rsidRPr="00FA4313">
        <w:rPr>
          <w:rFonts w:ascii="Times New Roman" w:hAnsi="Times New Roman" w:cs="Times New Roman"/>
          <w:sz w:val="24"/>
          <w:szCs w:val="24"/>
        </w:rPr>
        <w:t>(</w:t>
      </w:r>
      <w:r w:rsidRPr="00FA4313">
        <w:rPr>
          <w:rFonts w:ascii="Times New Roman" w:hAnsi="Times New Roman" w:cs="Times New Roman"/>
          <w:sz w:val="24"/>
          <w:szCs w:val="24"/>
        </w:rPr>
        <w:t xml:space="preserve">Fakir and </w:t>
      </w:r>
      <w:proofErr w:type="spellStart"/>
      <w:r w:rsidRPr="00FA4313">
        <w:rPr>
          <w:rFonts w:ascii="Times New Roman" w:hAnsi="Times New Roman" w:cs="Times New Roman"/>
          <w:sz w:val="24"/>
          <w:szCs w:val="24"/>
        </w:rPr>
        <w:t>Chaso</w:t>
      </w:r>
      <w:r w:rsidR="00FE2183" w:rsidRPr="00FA4313">
        <w:rPr>
          <w:rFonts w:ascii="Times New Roman" w:hAnsi="Times New Roman" w:cs="Times New Roman"/>
          <w:sz w:val="24"/>
          <w:szCs w:val="24"/>
        </w:rPr>
        <w:t>meris</w:t>
      </w:r>
      <w:proofErr w:type="spellEnd"/>
      <w:r w:rsidR="00FE2183" w:rsidRPr="00FA4313">
        <w:rPr>
          <w:rFonts w:ascii="Times New Roman" w:hAnsi="Times New Roman" w:cs="Times New Roman"/>
          <w:sz w:val="24"/>
          <w:szCs w:val="24"/>
        </w:rPr>
        <w:t>, 2019).</w:t>
      </w:r>
    </w:p>
    <w:p w14:paraId="22E8FF38" w14:textId="402A25F9" w:rsidR="00B26BCB" w:rsidRPr="00FA4313" w:rsidRDefault="00A656F0" w:rsidP="00FA4313">
      <w:pPr>
        <w:spacing w:after="0" w:line="240" w:lineRule="auto"/>
        <w:jc w:val="both"/>
        <w:rPr>
          <w:rFonts w:ascii="Times New Roman" w:hAnsi="Times New Roman" w:cs="Times New Roman"/>
          <w:sz w:val="24"/>
          <w:szCs w:val="24"/>
        </w:rPr>
      </w:pPr>
      <w:proofErr w:type="spellStart"/>
      <w:r w:rsidRPr="00FA4313">
        <w:rPr>
          <w:rFonts w:ascii="Times New Roman" w:hAnsi="Times New Roman" w:cs="Times New Roman"/>
          <w:sz w:val="24"/>
          <w:szCs w:val="24"/>
        </w:rPr>
        <w:t>Chasomeris</w:t>
      </w:r>
      <w:proofErr w:type="spellEnd"/>
      <w:r w:rsidRPr="00FA4313">
        <w:rPr>
          <w:rFonts w:ascii="Times New Roman" w:hAnsi="Times New Roman" w:cs="Times New Roman"/>
          <w:sz w:val="24"/>
          <w:szCs w:val="24"/>
        </w:rPr>
        <w:t xml:space="preserve"> (2015), Gumede and </w:t>
      </w:r>
      <w:proofErr w:type="spellStart"/>
      <w:r w:rsidRPr="00FA4313">
        <w:rPr>
          <w:rFonts w:ascii="Times New Roman" w:hAnsi="Times New Roman" w:cs="Times New Roman"/>
          <w:sz w:val="24"/>
          <w:szCs w:val="24"/>
        </w:rPr>
        <w:t>Chasomer</w:t>
      </w:r>
      <w:r w:rsidR="00F95173" w:rsidRPr="00FA4313">
        <w:rPr>
          <w:rFonts w:ascii="Times New Roman" w:hAnsi="Times New Roman" w:cs="Times New Roman"/>
          <w:sz w:val="24"/>
          <w:szCs w:val="24"/>
        </w:rPr>
        <w:t>i</w:t>
      </w:r>
      <w:r w:rsidRPr="00FA4313">
        <w:rPr>
          <w:rFonts w:ascii="Times New Roman" w:hAnsi="Times New Roman" w:cs="Times New Roman"/>
          <w:sz w:val="24"/>
          <w:szCs w:val="24"/>
        </w:rPr>
        <w:t>s</w:t>
      </w:r>
      <w:proofErr w:type="spellEnd"/>
      <w:r w:rsidRPr="00FA4313">
        <w:rPr>
          <w:rFonts w:ascii="Times New Roman" w:hAnsi="Times New Roman" w:cs="Times New Roman"/>
          <w:sz w:val="24"/>
          <w:szCs w:val="24"/>
        </w:rPr>
        <w:t xml:space="preserve"> (2017) and Meyiwa and </w:t>
      </w:r>
      <w:proofErr w:type="spellStart"/>
      <w:r w:rsidRPr="00FA4313">
        <w:rPr>
          <w:rFonts w:ascii="Times New Roman" w:hAnsi="Times New Roman" w:cs="Times New Roman"/>
          <w:sz w:val="24"/>
          <w:szCs w:val="24"/>
        </w:rPr>
        <w:t>Chasomeris</w:t>
      </w:r>
      <w:proofErr w:type="spellEnd"/>
      <w:r w:rsidRPr="00FA4313">
        <w:rPr>
          <w:rFonts w:ascii="Times New Roman" w:hAnsi="Times New Roman" w:cs="Times New Roman"/>
          <w:sz w:val="24"/>
          <w:szCs w:val="24"/>
        </w:rPr>
        <w:t xml:space="preserve"> (2020) provide a detailed discussion and critique of the RR model.</w:t>
      </w:r>
      <w:r w:rsidR="00C1120C" w:rsidRPr="00FA4313">
        <w:rPr>
          <w:rFonts w:ascii="Times New Roman" w:hAnsi="Times New Roman" w:cs="Times New Roman"/>
          <w:sz w:val="24"/>
          <w:szCs w:val="24"/>
        </w:rPr>
        <w:t xml:space="preserve"> </w:t>
      </w:r>
      <w:r w:rsidR="00E046C8" w:rsidRPr="00FA4313">
        <w:rPr>
          <w:rFonts w:ascii="Times New Roman" w:hAnsi="Times New Roman" w:cs="Times New Roman"/>
          <w:sz w:val="24"/>
          <w:szCs w:val="24"/>
        </w:rPr>
        <w:t>In particular, t</w:t>
      </w:r>
      <w:r w:rsidR="00C1120C" w:rsidRPr="00FA4313">
        <w:rPr>
          <w:rFonts w:ascii="Times New Roman" w:hAnsi="Times New Roman" w:cs="Times New Roman"/>
          <w:sz w:val="24"/>
          <w:szCs w:val="24"/>
        </w:rPr>
        <w:t xml:space="preserve">he value of several components of the RR model applied by the NPA </w:t>
      </w:r>
      <w:r w:rsidR="00E046C8" w:rsidRPr="00FA4313">
        <w:rPr>
          <w:rFonts w:ascii="Times New Roman" w:hAnsi="Times New Roman" w:cs="Times New Roman"/>
          <w:sz w:val="24"/>
          <w:szCs w:val="24"/>
        </w:rPr>
        <w:t xml:space="preserve">and PRSA </w:t>
      </w:r>
      <w:r w:rsidR="00C1120C" w:rsidRPr="00FA4313">
        <w:rPr>
          <w:rFonts w:ascii="Times New Roman" w:hAnsi="Times New Roman" w:cs="Times New Roman"/>
          <w:sz w:val="24"/>
          <w:szCs w:val="24"/>
        </w:rPr>
        <w:t>are contested by port users and stakeholders.</w:t>
      </w:r>
      <w:r w:rsidR="0070465A" w:rsidRPr="00FA4313">
        <w:rPr>
          <w:rFonts w:ascii="Times New Roman" w:hAnsi="Times New Roman" w:cs="Times New Roman"/>
          <w:sz w:val="24"/>
          <w:szCs w:val="24"/>
        </w:rPr>
        <w:t xml:space="preserve"> </w:t>
      </w:r>
      <w:r w:rsidR="006D3E06" w:rsidRPr="00FA4313">
        <w:rPr>
          <w:rFonts w:ascii="Times New Roman" w:hAnsi="Times New Roman" w:cs="Times New Roman"/>
          <w:sz w:val="24"/>
          <w:szCs w:val="24"/>
        </w:rPr>
        <w:t xml:space="preserve">There are </w:t>
      </w:r>
      <w:r w:rsidR="009E3672" w:rsidRPr="00FA4313">
        <w:rPr>
          <w:rFonts w:ascii="Times New Roman" w:hAnsi="Times New Roman" w:cs="Times New Roman"/>
          <w:sz w:val="24"/>
          <w:szCs w:val="24"/>
        </w:rPr>
        <w:t>four</w:t>
      </w:r>
      <w:r w:rsidR="006D3E06" w:rsidRPr="00FA4313">
        <w:rPr>
          <w:rFonts w:ascii="Times New Roman" w:hAnsi="Times New Roman" w:cs="Times New Roman"/>
          <w:sz w:val="24"/>
          <w:szCs w:val="24"/>
        </w:rPr>
        <w:t xml:space="preserve"> variables that this study will focus on</w:t>
      </w:r>
      <w:r w:rsidR="00B26BCB" w:rsidRPr="00FA4313">
        <w:rPr>
          <w:rFonts w:ascii="Times New Roman" w:hAnsi="Times New Roman" w:cs="Times New Roman"/>
          <w:sz w:val="24"/>
          <w:szCs w:val="24"/>
        </w:rPr>
        <w:t>, namely</w:t>
      </w:r>
      <w:r w:rsidR="006D3E06" w:rsidRPr="00FA4313">
        <w:rPr>
          <w:rFonts w:ascii="Times New Roman" w:hAnsi="Times New Roman" w:cs="Times New Roman"/>
          <w:sz w:val="24"/>
          <w:szCs w:val="24"/>
        </w:rPr>
        <w:t xml:space="preserve"> the Regulatory Asset Base (RAB), the asset beta</w:t>
      </w:r>
      <w:r w:rsidR="009E3672" w:rsidRPr="00FA4313">
        <w:rPr>
          <w:rFonts w:ascii="Times New Roman" w:hAnsi="Times New Roman" w:cs="Times New Roman"/>
          <w:sz w:val="24"/>
          <w:szCs w:val="24"/>
        </w:rPr>
        <w:t xml:space="preserve">, </w:t>
      </w:r>
      <w:r w:rsidR="006D3E06" w:rsidRPr="00FA4313">
        <w:rPr>
          <w:rFonts w:ascii="Times New Roman" w:hAnsi="Times New Roman" w:cs="Times New Roman"/>
          <w:sz w:val="24"/>
          <w:szCs w:val="24"/>
        </w:rPr>
        <w:t xml:space="preserve">the tax rate to be </w:t>
      </w:r>
      <w:r w:rsidR="005A4478" w:rsidRPr="00FA4313">
        <w:rPr>
          <w:rFonts w:ascii="Times New Roman" w:hAnsi="Times New Roman" w:cs="Times New Roman"/>
          <w:sz w:val="24"/>
          <w:szCs w:val="24"/>
        </w:rPr>
        <w:t>applied</w:t>
      </w:r>
      <w:r w:rsidR="009E3672" w:rsidRPr="00FA4313">
        <w:rPr>
          <w:rFonts w:ascii="Times New Roman" w:hAnsi="Times New Roman" w:cs="Times New Roman"/>
          <w:sz w:val="24"/>
          <w:szCs w:val="24"/>
        </w:rPr>
        <w:t xml:space="preserve"> and the ETIMC</w:t>
      </w:r>
      <w:r w:rsidR="006D3E06" w:rsidRPr="00FA4313">
        <w:rPr>
          <w:rFonts w:ascii="Times New Roman" w:hAnsi="Times New Roman" w:cs="Times New Roman"/>
          <w:sz w:val="24"/>
          <w:szCs w:val="24"/>
        </w:rPr>
        <w:t xml:space="preserve">. </w:t>
      </w:r>
    </w:p>
    <w:p w14:paraId="20560D2C" w14:textId="359357FC" w:rsidR="00BF5810" w:rsidRPr="00FA4313" w:rsidRDefault="006D3E06"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First, </w:t>
      </w:r>
      <w:r w:rsidR="005A4478" w:rsidRPr="00FA4313">
        <w:rPr>
          <w:rFonts w:ascii="Times New Roman" w:hAnsi="Times New Roman" w:cs="Times New Roman"/>
          <w:sz w:val="24"/>
          <w:szCs w:val="24"/>
        </w:rPr>
        <w:t>there should be a reduction in the RAB by R29 billion and</w:t>
      </w:r>
      <w:r w:rsidR="008576BE" w:rsidRPr="00FA4313">
        <w:rPr>
          <w:rFonts w:ascii="Times New Roman" w:hAnsi="Times New Roman" w:cs="Times New Roman"/>
          <w:sz w:val="24"/>
          <w:szCs w:val="24"/>
        </w:rPr>
        <w:t xml:space="preserve">, in order to </w:t>
      </w:r>
      <w:r w:rsidR="002F4574" w:rsidRPr="00FA4313">
        <w:rPr>
          <w:rFonts w:ascii="Times New Roman" w:hAnsi="Times New Roman" w:cs="Times New Roman"/>
          <w:sz w:val="24"/>
          <w:szCs w:val="24"/>
        </w:rPr>
        <w:t>ensure</w:t>
      </w:r>
      <w:r w:rsidR="008576BE" w:rsidRPr="00FA4313">
        <w:rPr>
          <w:rFonts w:ascii="Times New Roman" w:hAnsi="Times New Roman" w:cs="Times New Roman"/>
          <w:sz w:val="24"/>
          <w:szCs w:val="24"/>
        </w:rPr>
        <w:t xml:space="preserve"> the susta</w:t>
      </w:r>
      <w:r w:rsidR="001434A7" w:rsidRPr="00FA4313">
        <w:rPr>
          <w:rFonts w:ascii="Times New Roman" w:hAnsi="Times New Roman" w:cs="Times New Roman"/>
          <w:sz w:val="24"/>
          <w:szCs w:val="24"/>
        </w:rPr>
        <w:t xml:space="preserve">inability of the NPA, </w:t>
      </w:r>
      <w:r w:rsidR="005A4478" w:rsidRPr="00FA4313">
        <w:rPr>
          <w:rFonts w:ascii="Times New Roman" w:hAnsi="Times New Roman" w:cs="Times New Roman"/>
          <w:sz w:val="24"/>
          <w:szCs w:val="24"/>
        </w:rPr>
        <w:t xml:space="preserve">this reduction may </w:t>
      </w:r>
      <w:r w:rsidR="00347AC8" w:rsidRPr="00FA4313">
        <w:rPr>
          <w:rFonts w:ascii="Times New Roman" w:hAnsi="Times New Roman" w:cs="Times New Roman"/>
          <w:sz w:val="24"/>
          <w:szCs w:val="24"/>
        </w:rPr>
        <w:t xml:space="preserve">need to be </w:t>
      </w:r>
      <w:r w:rsidR="005A4478" w:rsidRPr="00FA4313">
        <w:rPr>
          <w:rFonts w:ascii="Times New Roman" w:hAnsi="Times New Roman" w:cs="Times New Roman"/>
          <w:sz w:val="24"/>
          <w:szCs w:val="24"/>
        </w:rPr>
        <w:t xml:space="preserve">phased, perhaps over two or three years. </w:t>
      </w:r>
      <w:r w:rsidR="00006D58" w:rsidRPr="00FA4313">
        <w:rPr>
          <w:rFonts w:ascii="Times New Roman" w:hAnsi="Times New Roman" w:cs="Times New Roman"/>
          <w:sz w:val="24"/>
          <w:szCs w:val="24"/>
        </w:rPr>
        <w:t xml:space="preserve">Meyiwa and </w:t>
      </w:r>
      <w:proofErr w:type="spellStart"/>
      <w:r w:rsidR="00006D58" w:rsidRPr="00FA4313">
        <w:rPr>
          <w:rFonts w:ascii="Times New Roman" w:hAnsi="Times New Roman" w:cs="Times New Roman"/>
          <w:sz w:val="24"/>
          <w:szCs w:val="24"/>
        </w:rPr>
        <w:t>Chasomeris</w:t>
      </w:r>
      <w:proofErr w:type="spellEnd"/>
      <w:r w:rsidR="00006D58" w:rsidRPr="00FA4313">
        <w:rPr>
          <w:rFonts w:ascii="Times New Roman" w:hAnsi="Times New Roman" w:cs="Times New Roman"/>
          <w:sz w:val="24"/>
          <w:szCs w:val="24"/>
        </w:rPr>
        <w:t xml:space="preserve"> (2020) explained that t</w:t>
      </w:r>
      <w:r w:rsidR="00CD7FB2" w:rsidRPr="00FA4313">
        <w:rPr>
          <w:rFonts w:ascii="Times New Roman" w:hAnsi="Times New Roman" w:cs="Times New Roman"/>
          <w:sz w:val="24"/>
          <w:szCs w:val="24"/>
        </w:rPr>
        <w:t xml:space="preserve">here was </w:t>
      </w:r>
      <w:r w:rsidR="00084F65" w:rsidRPr="00FA4313">
        <w:rPr>
          <w:rFonts w:ascii="Times New Roman" w:hAnsi="Times New Roman" w:cs="Times New Roman"/>
          <w:sz w:val="24"/>
          <w:szCs w:val="24"/>
        </w:rPr>
        <w:t>an approved revaluation of</w:t>
      </w:r>
      <w:r w:rsidR="00CD7FB2" w:rsidRPr="00FA4313">
        <w:rPr>
          <w:rFonts w:ascii="Times New Roman" w:hAnsi="Times New Roman" w:cs="Times New Roman"/>
          <w:sz w:val="24"/>
          <w:szCs w:val="24"/>
        </w:rPr>
        <w:t xml:space="preserve"> the RAB</w:t>
      </w:r>
      <w:r w:rsidR="00084F65" w:rsidRPr="00FA4313">
        <w:rPr>
          <w:rFonts w:ascii="Times New Roman" w:hAnsi="Times New Roman" w:cs="Times New Roman"/>
          <w:sz w:val="24"/>
          <w:szCs w:val="24"/>
        </w:rPr>
        <w:t xml:space="preserve">, using a </w:t>
      </w:r>
      <w:r w:rsidR="00C2572D" w:rsidRPr="00FA4313">
        <w:rPr>
          <w:rFonts w:ascii="Times New Roman" w:hAnsi="Times New Roman" w:cs="Times New Roman"/>
          <w:sz w:val="24"/>
          <w:szCs w:val="24"/>
        </w:rPr>
        <w:t xml:space="preserve">financial capital maintenance </w:t>
      </w:r>
      <w:r w:rsidR="00084F65" w:rsidRPr="00FA4313">
        <w:rPr>
          <w:rFonts w:ascii="Times New Roman" w:hAnsi="Times New Roman" w:cs="Times New Roman"/>
          <w:sz w:val="24"/>
          <w:szCs w:val="24"/>
        </w:rPr>
        <w:t>approach</w:t>
      </w:r>
      <w:r w:rsidR="00C2572D" w:rsidRPr="00FA4313">
        <w:rPr>
          <w:rFonts w:ascii="Times New Roman" w:hAnsi="Times New Roman" w:cs="Times New Roman"/>
          <w:sz w:val="24"/>
          <w:szCs w:val="24"/>
        </w:rPr>
        <w:t>, based on historic cost and trended original cost</w:t>
      </w:r>
      <w:r w:rsidR="00084F65" w:rsidRPr="00FA4313">
        <w:rPr>
          <w:rFonts w:ascii="Times New Roman" w:hAnsi="Times New Roman" w:cs="Times New Roman"/>
          <w:sz w:val="24"/>
          <w:szCs w:val="24"/>
        </w:rPr>
        <w:t xml:space="preserve">. The </w:t>
      </w:r>
      <w:r w:rsidR="00006D58" w:rsidRPr="00FA4313">
        <w:rPr>
          <w:rFonts w:ascii="Times New Roman" w:hAnsi="Times New Roman" w:cs="Times New Roman"/>
          <w:sz w:val="24"/>
          <w:szCs w:val="24"/>
        </w:rPr>
        <w:t xml:space="preserve">NPA </w:t>
      </w:r>
      <w:r w:rsidR="00C66B98" w:rsidRPr="00FA4313">
        <w:rPr>
          <w:rFonts w:ascii="Times New Roman" w:hAnsi="Times New Roman" w:cs="Times New Roman"/>
          <w:sz w:val="24"/>
          <w:szCs w:val="24"/>
        </w:rPr>
        <w:t>estimated that the P</w:t>
      </w:r>
      <w:r w:rsidR="006C2E13" w:rsidRPr="00FA4313">
        <w:rPr>
          <w:rFonts w:ascii="Times New Roman" w:hAnsi="Times New Roman" w:cs="Times New Roman"/>
          <w:sz w:val="24"/>
          <w:szCs w:val="24"/>
        </w:rPr>
        <w:t>RSA</w:t>
      </w:r>
      <w:r w:rsidR="00C66B98" w:rsidRPr="00FA4313">
        <w:rPr>
          <w:rFonts w:ascii="Times New Roman" w:hAnsi="Times New Roman" w:cs="Times New Roman"/>
          <w:sz w:val="24"/>
          <w:szCs w:val="24"/>
        </w:rPr>
        <w:t xml:space="preserve"> Valuation of Assets </w:t>
      </w:r>
      <w:r w:rsidR="006C2E13" w:rsidRPr="00FA4313">
        <w:rPr>
          <w:rFonts w:ascii="Times New Roman" w:hAnsi="Times New Roman" w:cs="Times New Roman"/>
          <w:sz w:val="24"/>
          <w:szCs w:val="24"/>
        </w:rPr>
        <w:t xml:space="preserve">would </w:t>
      </w:r>
      <w:r w:rsidR="00C66B98" w:rsidRPr="00FA4313">
        <w:rPr>
          <w:rFonts w:ascii="Times New Roman" w:hAnsi="Times New Roman" w:cs="Times New Roman"/>
          <w:sz w:val="24"/>
          <w:szCs w:val="24"/>
        </w:rPr>
        <w:t>reduce the NPA’s opening RAB value at 1 April 2019 by approximately R45 billion from R83.5 billion to R38.1 billion.</w:t>
      </w:r>
      <w:r w:rsidR="006C2E13" w:rsidRPr="00FA4313">
        <w:rPr>
          <w:rFonts w:ascii="Times New Roman" w:hAnsi="Times New Roman" w:cs="Times New Roman"/>
          <w:sz w:val="24"/>
          <w:szCs w:val="24"/>
        </w:rPr>
        <w:t xml:space="preserve"> </w:t>
      </w:r>
      <w:r w:rsidR="00C66B98" w:rsidRPr="00FA4313">
        <w:rPr>
          <w:rFonts w:ascii="Times New Roman" w:hAnsi="Times New Roman" w:cs="Times New Roman"/>
          <w:sz w:val="24"/>
          <w:szCs w:val="24"/>
        </w:rPr>
        <w:t xml:space="preserve"> </w:t>
      </w:r>
      <w:r w:rsidR="00E84637" w:rsidRPr="00FA4313">
        <w:rPr>
          <w:rFonts w:ascii="Times New Roman" w:hAnsi="Times New Roman" w:cs="Times New Roman"/>
          <w:sz w:val="24"/>
          <w:szCs w:val="24"/>
        </w:rPr>
        <w:t xml:space="preserve">In 2018/19, a change in the valuation of assets methodology resulted in </w:t>
      </w:r>
      <w:r w:rsidR="00167D53" w:rsidRPr="00FA4313">
        <w:rPr>
          <w:rFonts w:ascii="Times New Roman" w:hAnsi="Times New Roman" w:cs="Times New Roman"/>
          <w:sz w:val="24"/>
          <w:szCs w:val="24"/>
        </w:rPr>
        <w:t>a</w:t>
      </w:r>
      <w:r w:rsidR="00E84637" w:rsidRPr="00FA4313">
        <w:rPr>
          <w:rFonts w:ascii="Times New Roman" w:hAnsi="Times New Roman" w:cs="Times New Roman"/>
          <w:sz w:val="24"/>
          <w:szCs w:val="24"/>
        </w:rPr>
        <w:t xml:space="preserve"> R15.8 billion reduction in the RAB</w:t>
      </w:r>
      <w:r w:rsidR="00006D58" w:rsidRPr="00FA4313">
        <w:rPr>
          <w:rFonts w:ascii="Times New Roman" w:hAnsi="Times New Roman" w:cs="Times New Roman"/>
          <w:sz w:val="24"/>
          <w:szCs w:val="24"/>
        </w:rPr>
        <w:t xml:space="preserve">. So, what happened to the </w:t>
      </w:r>
      <w:r w:rsidR="00E84637" w:rsidRPr="00FA4313">
        <w:rPr>
          <w:rFonts w:ascii="Times New Roman" w:hAnsi="Times New Roman" w:cs="Times New Roman"/>
          <w:sz w:val="24"/>
          <w:szCs w:val="24"/>
        </w:rPr>
        <w:t>R29.2bn</w:t>
      </w:r>
      <w:r w:rsidR="00006D58" w:rsidRPr="00FA4313">
        <w:rPr>
          <w:rFonts w:ascii="Times New Roman" w:hAnsi="Times New Roman" w:cs="Times New Roman"/>
          <w:sz w:val="24"/>
          <w:szCs w:val="24"/>
        </w:rPr>
        <w:t xml:space="preserve"> difference?</w:t>
      </w:r>
      <w:r w:rsidR="00E84637" w:rsidRPr="00FA4313">
        <w:rPr>
          <w:rFonts w:ascii="Times New Roman" w:hAnsi="Times New Roman" w:cs="Times New Roman"/>
          <w:sz w:val="24"/>
          <w:szCs w:val="24"/>
        </w:rPr>
        <w:t xml:space="preserve"> It appears </w:t>
      </w:r>
      <w:r w:rsidR="00E42092" w:rsidRPr="00FA4313">
        <w:rPr>
          <w:rFonts w:ascii="Times New Roman" w:hAnsi="Times New Roman" w:cs="Times New Roman"/>
          <w:sz w:val="24"/>
          <w:szCs w:val="24"/>
        </w:rPr>
        <w:t xml:space="preserve">that </w:t>
      </w:r>
      <w:r w:rsidR="00E84637" w:rsidRPr="00FA4313">
        <w:rPr>
          <w:rFonts w:ascii="Times New Roman" w:hAnsi="Times New Roman" w:cs="Times New Roman"/>
          <w:sz w:val="24"/>
          <w:szCs w:val="24"/>
        </w:rPr>
        <w:t xml:space="preserve">there is still </w:t>
      </w:r>
      <w:r w:rsidR="00F46591" w:rsidRPr="00FA4313">
        <w:rPr>
          <w:rFonts w:ascii="Times New Roman" w:hAnsi="Times New Roman" w:cs="Times New Roman"/>
          <w:sz w:val="24"/>
          <w:szCs w:val="24"/>
        </w:rPr>
        <w:t>scope</w:t>
      </w:r>
      <w:r w:rsidR="00E84637" w:rsidRPr="00FA4313">
        <w:rPr>
          <w:rFonts w:ascii="Times New Roman" w:hAnsi="Times New Roman" w:cs="Times New Roman"/>
          <w:sz w:val="24"/>
          <w:szCs w:val="24"/>
        </w:rPr>
        <w:t xml:space="preserve"> for RAB value reduction</w:t>
      </w:r>
      <w:r w:rsidR="006D1DCA" w:rsidRPr="00FA4313">
        <w:rPr>
          <w:rFonts w:ascii="Times New Roman" w:hAnsi="Times New Roman" w:cs="Times New Roman"/>
          <w:sz w:val="24"/>
          <w:szCs w:val="24"/>
        </w:rPr>
        <w:t>s</w:t>
      </w:r>
      <w:r w:rsidR="00156C3A" w:rsidRPr="00FA4313">
        <w:rPr>
          <w:rFonts w:ascii="Times New Roman" w:hAnsi="Times New Roman" w:cs="Times New Roman"/>
          <w:sz w:val="24"/>
          <w:szCs w:val="24"/>
        </w:rPr>
        <w:t xml:space="preserve"> (</w:t>
      </w:r>
      <w:proofErr w:type="spellStart"/>
      <w:r w:rsidR="00156C3A" w:rsidRPr="00FA4313">
        <w:rPr>
          <w:rFonts w:ascii="Times New Roman" w:hAnsi="Times New Roman" w:cs="Times New Roman"/>
          <w:sz w:val="24"/>
          <w:szCs w:val="24"/>
        </w:rPr>
        <w:t>Chasomeris</w:t>
      </w:r>
      <w:proofErr w:type="spellEnd"/>
      <w:r w:rsidR="00156C3A" w:rsidRPr="00FA4313">
        <w:rPr>
          <w:rFonts w:ascii="Times New Roman" w:hAnsi="Times New Roman" w:cs="Times New Roman"/>
          <w:sz w:val="24"/>
          <w:szCs w:val="24"/>
        </w:rPr>
        <w:t>, 2020</w:t>
      </w:r>
      <w:r w:rsidR="005B1CD4" w:rsidRPr="00FA4313">
        <w:rPr>
          <w:rFonts w:ascii="Times New Roman" w:hAnsi="Times New Roman" w:cs="Times New Roman"/>
          <w:sz w:val="24"/>
          <w:szCs w:val="24"/>
        </w:rPr>
        <w:t>)</w:t>
      </w:r>
      <w:r w:rsidR="00E42092" w:rsidRPr="00FA4313">
        <w:rPr>
          <w:rFonts w:ascii="Times New Roman" w:hAnsi="Times New Roman" w:cs="Times New Roman"/>
          <w:sz w:val="24"/>
          <w:szCs w:val="24"/>
        </w:rPr>
        <w:t>.</w:t>
      </w:r>
      <w:r w:rsidR="005D566D" w:rsidRPr="00FA4313">
        <w:rPr>
          <w:rFonts w:ascii="Times New Roman" w:hAnsi="Times New Roman" w:cs="Times New Roman"/>
          <w:sz w:val="24"/>
          <w:szCs w:val="24"/>
        </w:rPr>
        <w:t xml:space="preserve"> </w:t>
      </w:r>
      <w:r w:rsidR="005A4478" w:rsidRPr="00FA4313">
        <w:rPr>
          <w:rFonts w:ascii="Times New Roman" w:hAnsi="Times New Roman" w:cs="Times New Roman"/>
          <w:sz w:val="24"/>
          <w:szCs w:val="24"/>
        </w:rPr>
        <w:t>Second, the use of an equitable tax rate of 15.5% should be used as long as the NPA remains a division of Transnet</w:t>
      </w:r>
      <w:r w:rsidR="00B56553" w:rsidRPr="00FA4313">
        <w:rPr>
          <w:rFonts w:ascii="Times New Roman" w:hAnsi="Times New Roman" w:cs="Times New Roman"/>
          <w:sz w:val="24"/>
          <w:szCs w:val="24"/>
        </w:rPr>
        <w:t xml:space="preserve"> (Fakir and </w:t>
      </w:r>
      <w:proofErr w:type="spellStart"/>
      <w:r w:rsidR="00B56553" w:rsidRPr="00FA4313">
        <w:rPr>
          <w:rFonts w:ascii="Times New Roman" w:hAnsi="Times New Roman" w:cs="Times New Roman"/>
          <w:sz w:val="24"/>
          <w:szCs w:val="24"/>
        </w:rPr>
        <w:t>Chasomeris</w:t>
      </w:r>
      <w:proofErr w:type="spellEnd"/>
      <w:r w:rsidR="00B56553" w:rsidRPr="00FA4313">
        <w:rPr>
          <w:rFonts w:ascii="Times New Roman" w:hAnsi="Times New Roman" w:cs="Times New Roman"/>
          <w:sz w:val="24"/>
          <w:szCs w:val="24"/>
        </w:rPr>
        <w:t>, 2019)</w:t>
      </w:r>
      <w:r w:rsidR="005A4478" w:rsidRPr="00FA4313">
        <w:rPr>
          <w:rFonts w:ascii="Times New Roman" w:hAnsi="Times New Roman" w:cs="Times New Roman"/>
          <w:sz w:val="24"/>
          <w:szCs w:val="24"/>
        </w:rPr>
        <w:t xml:space="preserve">. </w:t>
      </w:r>
      <w:r w:rsidR="00054C29" w:rsidRPr="00FA4313">
        <w:rPr>
          <w:rFonts w:ascii="Times New Roman" w:hAnsi="Times New Roman" w:cs="Times New Roman"/>
          <w:sz w:val="24"/>
          <w:szCs w:val="24"/>
        </w:rPr>
        <w:t xml:space="preserve">Over the period 2011 to 2017, the PRSA allowed the use of the pass-through of corporate tax rate (28%). However, </w:t>
      </w:r>
      <w:r w:rsidR="008B0CEB" w:rsidRPr="00FA4313">
        <w:rPr>
          <w:rFonts w:ascii="Times New Roman" w:hAnsi="Times New Roman" w:cs="Times New Roman"/>
          <w:sz w:val="24"/>
          <w:szCs w:val="24"/>
        </w:rPr>
        <w:t xml:space="preserve">Fakir and </w:t>
      </w:r>
      <w:proofErr w:type="spellStart"/>
      <w:r w:rsidR="008B0CEB" w:rsidRPr="00FA4313">
        <w:rPr>
          <w:rFonts w:ascii="Times New Roman" w:hAnsi="Times New Roman" w:cs="Times New Roman"/>
          <w:sz w:val="24"/>
          <w:szCs w:val="24"/>
        </w:rPr>
        <w:t>Chasomeris</w:t>
      </w:r>
      <w:proofErr w:type="spellEnd"/>
      <w:r w:rsidR="008B0CEB" w:rsidRPr="00FA4313">
        <w:rPr>
          <w:rFonts w:ascii="Times New Roman" w:hAnsi="Times New Roman" w:cs="Times New Roman"/>
          <w:sz w:val="24"/>
          <w:szCs w:val="24"/>
        </w:rPr>
        <w:t xml:space="preserve"> (2019) explain that </w:t>
      </w:r>
      <w:r w:rsidR="00054C29" w:rsidRPr="00FA4313">
        <w:rPr>
          <w:rFonts w:ascii="Times New Roman" w:hAnsi="Times New Roman" w:cs="Times New Roman"/>
          <w:sz w:val="24"/>
          <w:szCs w:val="24"/>
        </w:rPr>
        <w:t xml:space="preserve">from 2018 it applied an equitable tax rate approach that is derived from the corporate tax rate applied to the group profit, shared between the sums of all the pre-tax profits of profit-making divisions within the group. </w:t>
      </w:r>
      <w:r w:rsidR="000211E0" w:rsidRPr="00FA4313">
        <w:rPr>
          <w:rFonts w:ascii="Times New Roman" w:hAnsi="Times New Roman" w:cs="Times New Roman"/>
          <w:sz w:val="24"/>
          <w:szCs w:val="24"/>
        </w:rPr>
        <w:t xml:space="preserve">Fakir and </w:t>
      </w:r>
      <w:proofErr w:type="spellStart"/>
      <w:r w:rsidR="000211E0" w:rsidRPr="00FA4313">
        <w:rPr>
          <w:rFonts w:ascii="Times New Roman" w:hAnsi="Times New Roman" w:cs="Times New Roman"/>
          <w:sz w:val="24"/>
          <w:szCs w:val="24"/>
        </w:rPr>
        <w:t>Chasomeris</w:t>
      </w:r>
      <w:proofErr w:type="spellEnd"/>
      <w:r w:rsidR="000211E0" w:rsidRPr="00FA4313">
        <w:rPr>
          <w:rFonts w:ascii="Times New Roman" w:hAnsi="Times New Roman" w:cs="Times New Roman"/>
          <w:sz w:val="24"/>
          <w:szCs w:val="24"/>
        </w:rPr>
        <w:t xml:space="preserve"> (2019) calculated that over the years from 2011 to 2017, port users could have saved ZAR2.6 billion had the equitable tax rate been applied. Since 2018, the PRSA applied an annual equitable tax rate that is typically in the range from 15 per cent to 15.5 pe</w:t>
      </w:r>
      <w:r w:rsidR="00467918" w:rsidRPr="00FA4313">
        <w:rPr>
          <w:rFonts w:ascii="Times New Roman" w:hAnsi="Times New Roman" w:cs="Times New Roman"/>
          <w:sz w:val="24"/>
          <w:szCs w:val="24"/>
        </w:rPr>
        <w:t>r</w:t>
      </w:r>
      <w:r w:rsidR="000211E0" w:rsidRPr="00FA4313">
        <w:rPr>
          <w:rFonts w:ascii="Times New Roman" w:hAnsi="Times New Roman" w:cs="Times New Roman"/>
          <w:sz w:val="24"/>
          <w:szCs w:val="24"/>
        </w:rPr>
        <w:t xml:space="preserve"> cent. </w:t>
      </w:r>
      <w:r w:rsidR="005A4478" w:rsidRPr="00FA4313">
        <w:rPr>
          <w:rFonts w:ascii="Times New Roman" w:hAnsi="Times New Roman" w:cs="Times New Roman"/>
          <w:sz w:val="24"/>
          <w:szCs w:val="24"/>
        </w:rPr>
        <w:t xml:space="preserve">As soon as the NPA becomes a subsidiary of Transnet, then the corporate tax rate of 28% may be applied. </w:t>
      </w:r>
      <w:r w:rsidR="00ED6A32" w:rsidRPr="00FA4313">
        <w:rPr>
          <w:rFonts w:ascii="Times New Roman" w:hAnsi="Times New Roman" w:cs="Times New Roman"/>
          <w:sz w:val="24"/>
          <w:szCs w:val="24"/>
        </w:rPr>
        <w:t xml:space="preserve"> </w:t>
      </w:r>
      <w:r w:rsidR="005A4478" w:rsidRPr="00FA4313">
        <w:rPr>
          <w:rFonts w:ascii="Times New Roman" w:hAnsi="Times New Roman" w:cs="Times New Roman"/>
          <w:sz w:val="24"/>
          <w:szCs w:val="24"/>
        </w:rPr>
        <w:t xml:space="preserve">Third, the asset beta should be set to zero rather than the present 0.35. </w:t>
      </w:r>
      <w:r w:rsidR="004A3FEC" w:rsidRPr="00FA4313">
        <w:rPr>
          <w:rFonts w:ascii="Times New Roman" w:hAnsi="Times New Roman" w:cs="Times New Roman"/>
          <w:sz w:val="24"/>
          <w:szCs w:val="24"/>
        </w:rPr>
        <w:t xml:space="preserve">The </w:t>
      </w:r>
      <w:r w:rsidR="00AA0FDF" w:rsidRPr="00FA4313">
        <w:rPr>
          <w:rFonts w:ascii="Times New Roman" w:hAnsi="Times New Roman" w:cs="Times New Roman"/>
          <w:sz w:val="24"/>
          <w:szCs w:val="24"/>
        </w:rPr>
        <w:t>PRSA historically allowed an asset beta of 0.5</w:t>
      </w:r>
      <w:r w:rsidR="00B92C28" w:rsidRPr="00FA4313">
        <w:rPr>
          <w:rFonts w:ascii="Times New Roman" w:hAnsi="Times New Roman" w:cs="Times New Roman"/>
          <w:sz w:val="24"/>
          <w:szCs w:val="24"/>
        </w:rPr>
        <w:t>, but port users like South African Association of Ship Operators and Agents as wel</w:t>
      </w:r>
      <w:r w:rsidR="008E16F5" w:rsidRPr="00FA4313">
        <w:rPr>
          <w:rFonts w:ascii="Times New Roman" w:hAnsi="Times New Roman" w:cs="Times New Roman"/>
          <w:sz w:val="24"/>
          <w:szCs w:val="24"/>
        </w:rPr>
        <w:t>l</w:t>
      </w:r>
      <w:r w:rsidR="00B92C28" w:rsidRPr="00FA4313">
        <w:rPr>
          <w:rFonts w:ascii="Times New Roman" w:hAnsi="Times New Roman" w:cs="Times New Roman"/>
          <w:sz w:val="24"/>
          <w:szCs w:val="24"/>
        </w:rPr>
        <w:t xml:space="preserve"> as articles like </w:t>
      </w:r>
      <w:proofErr w:type="spellStart"/>
      <w:r w:rsidR="00AA0FDF" w:rsidRPr="00FA4313">
        <w:rPr>
          <w:rFonts w:ascii="Times New Roman" w:hAnsi="Times New Roman" w:cs="Times New Roman"/>
          <w:sz w:val="24"/>
          <w:szCs w:val="24"/>
        </w:rPr>
        <w:t>Chasomeris</w:t>
      </w:r>
      <w:proofErr w:type="spellEnd"/>
      <w:r w:rsidR="00AA0FDF" w:rsidRPr="00FA4313">
        <w:rPr>
          <w:rFonts w:ascii="Times New Roman" w:hAnsi="Times New Roman" w:cs="Times New Roman"/>
          <w:sz w:val="24"/>
          <w:szCs w:val="24"/>
        </w:rPr>
        <w:t xml:space="preserve"> (2015) and Gumede and </w:t>
      </w:r>
      <w:proofErr w:type="spellStart"/>
      <w:r w:rsidR="00AA0FDF" w:rsidRPr="00FA4313">
        <w:rPr>
          <w:rFonts w:ascii="Times New Roman" w:hAnsi="Times New Roman" w:cs="Times New Roman"/>
          <w:sz w:val="24"/>
          <w:szCs w:val="24"/>
        </w:rPr>
        <w:t>Chasomeris</w:t>
      </w:r>
      <w:proofErr w:type="spellEnd"/>
      <w:r w:rsidR="00AA0FDF" w:rsidRPr="00FA4313">
        <w:rPr>
          <w:rFonts w:ascii="Times New Roman" w:hAnsi="Times New Roman" w:cs="Times New Roman"/>
          <w:sz w:val="24"/>
          <w:szCs w:val="24"/>
        </w:rPr>
        <w:t xml:space="preserve"> (2017) argued for an asset beta lower than 0.5. </w:t>
      </w:r>
      <w:r w:rsidR="00604D88" w:rsidRPr="00FA4313">
        <w:rPr>
          <w:rFonts w:ascii="Times New Roman" w:hAnsi="Times New Roman" w:cs="Times New Roman"/>
          <w:sz w:val="24"/>
          <w:szCs w:val="24"/>
        </w:rPr>
        <w:t xml:space="preserve">For the period 2021/22-2023/24, the </w:t>
      </w:r>
      <w:r w:rsidR="00AA0FDF" w:rsidRPr="00FA4313">
        <w:rPr>
          <w:rFonts w:ascii="Times New Roman" w:hAnsi="Times New Roman" w:cs="Times New Roman"/>
          <w:sz w:val="24"/>
          <w:szCs w:val="24"/>
        </w:rPr>
        <w:t xml:space="preserve">PRSA </w:t>
      </w:r>
      <w:r w:rsidR="00604D88" w:rsidRPr="00FA4313">
        <w:rPr>
          <w:rFonts w:ascii="Times New Roman" w:hAnsi="Times New Roman" w:cs="Times New Roman"/>
          <w:sz w:val="24"/>
          <w:szCs w:val="24"/>
        </w:rPr>
        <w:t>are now</w:t>
      </w:r>
      <w:r w:rsidR="00AA0FDF" w:rsidRPr="00FA4313">
        <w:rPr>
          <w:rFonts w:ascii="Times New Roman" w:hAnsi="Times New Roman" w:cs="Times New Roman"/>
          <w:sz w:val="24"/>
          <w:szCs w:val="24"/>
        </w:rPr>
        <w:t xml:space="preserve"> </w:t>
      </w:r>
      <w:r w:rsidR="00604D88" w:rsidRPr="00FA4313">
        <w:rPr>
          <w:rFonts w:ascii="Times New Roman" w:hAnsi="Times New Roman" w:cs="Times New Roman"/>
          <w:sz w:val="24"/>
          <w:szCs w:val="24"/>
        </w:rPr>
        <w:t xml:space="preserve">applying </w:t>
      </w:r>
      <w:r w:rsidR="00AA0FDF" w:rsidRPr="00FA4313">
        <w:rPr>
          <w:rFonts w:ascii="Times New Roman" w:hAnsi="Times New Roman" w:cs="Times New Roman"/>
          <w:sz w:val="24"/>
          <w:szCs w:val="24"/>
        </w:rPr>
        <w:t>an asset beta of 0.35</w:t>
      </w:r>
      <w:r w:rsidR="00C57CA0" w:rsidRPr="00FA4313">
        <w:rPr>
          <w:rFonts w:ascii="Times New Roman" w:hAnsi="Times New Roman" w:cs="Times New Roman"/>
          <w:sz w:val="24"/>
          <w:szCs w:val="24"/>
        </w:rPr>
        <w:t xml:space="preserve">. </w:t>
      </w:r>
      <w:r w:rsidR="00604D88" w:rsidRPr="00FA4313">
        <w:rPr>
          <w:rFonts w:ascii="Times New Roman" w:hAnsi="Times New Roman" w:cs="Times New Roman"/>
          <w:sz w:val="24"/>
          <w:szCs w:val="24"/>
        </w:rPr>
        <w:t>However, PRSA</w:t>
      </w:r>
      <w:r w:rsidR="00DE1A20" w:rsidRPr="00FA4313">
        <w:rPr>
          <w:rFonts w:ascii="Times New Roman" w:hAnsi="Times New Roman" w:cs="Times New Roman"/>
          <w:sz w:val="24"/>
          <w:szCs w:val="24"/>
        </w:rPr>
        <w:t xml:space="preserve"> (2020: 7)</w:t>
      </w:r>
      <w:r w:rsidR="00604D88" w:rsidRPr="00FA4313">
        <w:rPr>
          <w:rFonts w:ascii="Times New Roman" w:hAnsi="Times New Roman" w:cs="Times New Roman"/>
          <w:sz w:val="24"/>
          <w:szCs w:val="24"/>
        </w:rPr>
        <w:t xml:space="preserve"> state</w:t>
      </w:r>
      <w:r w:rsidR="00AA0FDF" w:rsidRPr="00FA4313">
        <w:rPr>
          <w:rFonts w:ascii="Times New Roman" w:hAnsi="Times New Roman" w:cs="Times New Roman"/>
          <w:sz w:val="24"/>
          <w:szCs w:val="24"/>
        </w:rPr>
        <w:t>: “The actual calculated beta of the NPA is closer to 0</w:t>
      </w:r>
      <w:r w:rsidR="00DE1A20" w:rsidRPr="00FA4313">
        <w:rPr>
          <w:rFonts w:ascii="Times New Roman" w:hAnsi="Times New Roman" w:cs="Times New Roman"/>
          <w:sz w:val="24"/>
          <w:szCs w:val="24"/>
        </w:rPr>
        <w:t xml:space="preserve"> due to the reasons set out above</w:t>
      </w:r>
      <w:r w:rsidR="00CC66BA" w:rsidRPr="00FA4313">
        <w:rPr>
          <w:rFonts w:ascii="Times New Roman" w:hAnsi="Times New Roman" w:cs="Times New Roman"/>
          <w:sz w:val="24"/>
          <w:szCs w:val="24"/>
        </w:rPr>
        <w:t>”.</w:t>
      </w:r>
      <w:r w:rsidR="006111E0" w:rsidRPr="00FA4313">
        <w:rPr>
          <w:rFonts w:ascii="Times New Roman" w:hAnsi="Times New Roman" w:cs="Times New Roman"/>
          <w:sz w:val="24"/>
          <w:szCs w:val="24"/>
        </w:rPr>
        <w:t xml:space="preserve"> </w:t>
      </w:r>
      <w:r w:rsidR="00AA1E31" w:rsidRPr="00FA4313">
        <w:rPr>
          <w:rFonts w:ascii="Times New Roman" w:hAnsi="Times New Roman" w:cs="Times New Roman"/>
          <w:sz w:val="24"/>
          <w:szCs w:val="24"/>
        </w:rPr>
        <w:t>Moving forward, t</w:t>
      </w:r>
      <w:r w:rsidR="00AA0FDF" w:rsidRPr="00FA4313">
        <w:rPr>
          <w:rFonts w:ascii="Times New Roman" w:hAnsi="Times New Roman" w:cs="Times New Roman"/>
          <w:sz w:val="24"/>
          <w:szCs w:val="24"/>
        </w:rPr>
        <w:t>here could be merit in planned annual reductions in the value of the asset beta</w:t>
      </w:r>
      <w:r w:rsidR="00614FF8" w:rsidRPr="00FA4313">
        <w:rPr>
          <w:rFonts w:ascii="Times New Roman" w:hAnsi="Times New Roman" w:cs="Times New Roman"/>
          <w:sz w:val="24"/>
          <w:szCs w:val="24"/>
        </w:rPr>
        <w:t xml:space="preserve"> (</w:t>
      </w:r>
      <w:proofErr w:type="spellStart"/>
      <w:r w:rsidR="00614FF8" w:rsidRPr="00FA4313">
        <w:rPr>
          <w:rFonts w:ascii="Times New Roman" w:hAnsi="Times New Roman" w:cs="Times New Roman"/>
          <w:sz w:val="24"/>
          <w:szCs w:val="24"/>
        </w:rPr>
        <w:t>Chasomeris</w:t>
      </w:r>
      <w:proofErr w:type="spellEnd"/>
      <w:r w:rsidR="00614FF8" w:rsidRPr="00FA4313">
        <w:rPr>
          <w:rFonts w:ascii="Times New Roman" w:hAnsi="Times New Roman" w:cs="Times New Roman"/>
          <w:sz w:val="24"/>
          <w:szCs w:val="24"/>
        </w:rPr>
        <w:t>, 2020)</w:t>
      </w:r>
      <w:r w:rsidR="00AA0FDF" w:rsidRPr="00FA4313">
        <w:rPr>
          <w:rFonts w:ascii="Times New Roman" w:hAnsi="Times New Roman" w:cs="Times New Roman"/>
          <w:sz w:val="24"/>
          <w:szCs w:val="24"/>
        </w:rPr>
        <w:t>.</w:t>
      </w:r>
      <w:r w:rsidR="0081383F" w:rsidRPr="00FA4313">
        <w:rPr>
          <w:rFonts w:ascii="Times New Roman" w:hAnsi="Times New Roman" w:cs="Times New Roman"/>
          <w:sz w:val="24"/>
          <w:szCs w:val="24"/>
        </w:rPr>
        <w:t xml:space="preserve"> </w:t>
      </w:r>
      <w:r w:rsidR="005A4478" w:rsidRPr="00FA4313">
        <w:rPr>
          <w:rFonts w:ascii="Times New Roman" w:hAnsi="Times New Roman" w:cs="Times New Roman"/>
          <w:sz w:val="24"/>
          <w:szCs w:val="24"/>
        </w:rPr>
        <w:t xml:space="preserve">Finally, </w:t>
      </w:r>
      <w:r w:rsidR="00D8111E" w:rsidRPr="00FA4313">
        <w:rPr>
          <w:rFonts w:ascii="Times New Roman" w:hAnsi="Times New Roman" w:cs="Times New Roman"/>
          <w:sz w:val="24"/>
          <w:szCs w:val="24"/>
        </w:rPr>
        <w:t xml:space="preserve">if the RAB, the Asset beta and the correct tax rate are applied, then there would be much less of a need to draw upon the ETIMC. As a result, this would contribute towards a more sustainable use of the ETIMC. Essentially, the funds available in the ETIMC would be available to be </w:t>
      </w:r>
      <w:r w:rsidR="00EC65CE" w:rsidRPr="00FA4313">
        <w:rPr>
          <w:rFonts w:ascii="Times New Roman" w:hAnsi="Times New Roman" w:cs="Times New Roman"/>
          <w:sz w:val="24"/>
          <w:szCs w:val="24"/>
        </w:rPr>
        <w:t>used</w:t>
      </w:r>
      <w:r w:rsidR="00D8111E" w:rsidRPr="00FA4313">
        <w:rPr>
          <w:rFonts w:ascii="Times New Roman" w:hAnsi="Times New Roman" w:cs="Times New Roman"/>
          <w:sz w:val="24"/>
          <w:szCs w:val="24"/>
        </w:rPr>
        <w:t xml:space="preserve"> over the coming years to endure that</w:t>
      </w:r>
      <w:r w:rsidR="00EC65CE" w:rsidRPr="00FA4313">
        <w:rPr>
          <w:rFonts w:ascii="Times New Roman" w:hAnsi="Times New Roman" w:cs="Times New Roman"/>
          <w:sz w:val="24"/>
          <w:szCs w:val="24"/>
        </w:rPr>
        <w:t xml:space="preserve"> weighted average </w:t>
      </w:r>
      <w:r w:rsidR="00D8111E" w:rsidRPr="00FA4313">
        <w:rPr>
          <w:rFonts w:ascii="Times New Roman" w:hAnsi="Times New Roman" w:cs="Times New Roman"/>
          <w:sz w:val="24"/>
          <w:szCs w:val="24"/>
        </w:rPr>
        <w:t xml:space="preserve">tariff increases remain low (below </w:t>
      </w:r>
      <w:r w:rsidR="00EC65CE" w:rsidRPr="00FA4313">
        <w:rPr>
          <w:rFonts w:ascii="Times New Roman" w:hAnsi="Times New Roman" w:cs="Times New Roman"/>
          <w:sz w:val="24"/>
          <w:szCs w:val="24"/>
        </w:rPr>
        <w:t xml:space="preserve">CPI </w:t>
      </w:r>
      <w:r w:rsidR="00D8111E" w:rsidRPr="00FA4313">
        <w:rPr>
          <w:rFonts w:ascii="Times New Roman" w:hAnsi="Times New Roman" w:cs="Times New Roman"/>
          <w:sz w:val="24"/>
          <w:szCs w:val="24"/>
        </w:rPr>
        <w:t>inflation increases) and stable</w:t>
      </w:r>
      <w:r w:rsidR="00313803" w:rsidRPr="00FA4313">
        <w:rPr>
          <w:rFonts w:ascii="Times New Roman" w:hAnsi="Times New Roman" w:cs="Times New Roman"/>
          <w:sz w:val="24"/>
          <w:szCs w:val="24"/>
        </w:rPr>
        <w:t>.</w:t>
      </w:r>
    </w:p>
    <w:p w14:paraId="20442787" w14:textId="7F527241"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Tariff adjustments </w:t>
      </w:r>
      <w:r w:rsidR="0056188D" w:rsidRPr="00FA4313">
        <w:rPr>
          <w:rFonts w:ascii="Times New Roman" w:hAnsi="Times New Roman" w:cs="Times New Roman"/>
          <w:sz w:val="24"/>
          <w:szCs w:val="24"/>
        </w:rPr>
        <w:t>using</w:t>
      </w:r>
      <w:r w:rsidRPr="00FA4313">
        <w:rPr>
          <w:rFonts w:ascii="Times New Roman" w:hAnsi="Times New Roman" w:cs="Times New Roman"/>
          <w:sz w:val="24"/>
          <w:szCs w:val="24"/>
        </w:rPr>
        <w:t xml:space="preserve"> the RR model are significantly dependent upon trade volumes.  The COVID lockdowns, both in South Africa and abroad, substantially reduced port trade volumes. Consequently, the average tariff increase applied for by the NPA was significantly higher.</w:t>
      </w:r>
      <w:r w:rsidR="002402D7" w:rsidRPr="00FA4313">
        <w:rPr>
          <w:rFonts w:ascii="Times New Roman" w:hAnsi="Times New Roman" w:cs="Times New Roman"/>
          <w:sz w:val="24"/>
          <w:szCs w:val="24"/>
        </w:rPr>
        <w:t xml:space="preserve"> </w:t>
      </w:r>
      <w:r w:rsidRPr="00FA4313">
        <w:rPr>
          <w:rFonts w:ascii="Times New Roman" w:hAnsi="Times New Roman" w:cs="Times New Roman"/>
          <w:sz w:val="24"/>
          <w:szCs w:val="24"/>
        </w:rPr>
        <w:t xml:space="preserve">Due to COVID lockdowns and the significantly reduced forecast trade volumes the NPA calculated using the RR model a weighted average tariff </w:t>
      </w:r>
      <w:r w:rsidRPr="00FA4313">
        <w:rPr>
          <w:rFonts w:ascii="Times New Roman" w:hAnsi="Times New Roman" w:cs="Times New Roman"/>
          <w:sz w:val="24"/>
          <w:szCs w:val="24"/>
        </w:rPr>
        <w:lastRenderedPageBreak/>
        <w:t xml:space="preserve">increase of 19.4% would be required for the financial year 2021/22. TNPA however acknowledged the extremely difficult economic environment and proposed a weighted average increase of about 3% and made an application to PRSA accordingly. In order for the average tariff increase to be 3% rather than the 19.4%, TNPA requested to use ZAR1.201 billion from the ETIMC. After consultation and </w:t>
      </w:r>
      <w:r w:rsidR="00F51382" w:rsidRPr="00FA4313">
        <w:rPr>
          <w:rFonts w:ascii="Times New Roman" w:hAnsi="Times New Roman" w:cs="Times New Roman"/>
          <w:sz w:val="24"/>
          <w:szCs w:val="24"/>
        </w:rPr>
        <w:t>analysis,</w:t>
      </w:r>
      <w:r w:rsidRPr="00FA4313">
        <w:rPr>
          <w:rFonts w:ascii="Times New Roman" w:hAnsi="Times New Roman" w:cs="Times New Roman"/>
          <w:sz w:val="24"/>
          <w:szCs w:val="24"/>
        </w:rPr>
        <w:t xml:space="preserve"> the PRSA ultimately allowed a weighted average increase in tariffs of 0</w:t>
      </w:r>
      <w:r w:rsidR="00F51382" w:rsidRPr="00FA4313">
        <w:rPr>
          <w:rFonts w:ascii="Times New Roman" w:hAnsi="Times New Roman" w:cs="Times New Roman"/>
          <w:sz w:val="24"/>
          <w:szCs w:val="24"/>
        </w:rPr>
        <w:t>%</w:t>
      </w:r>
      <w:r w:rsidRPr="00FA4313">
        <w:rPr>
          <w:rFonts w:ascii="Times New Roman" w:hAnsi="Times New Roman" w:cs="Times New Roman"/>
          <w:sz w:val="24"/>
          <w:szCs w:val="24"/>
        </w:rPr>
        <w:t xml:space="preserve">. Essentially such an outcome was achieved largely by drawing ZAR1.201 billion from the ETIMC. The amount available in the ETIMC in </w:t>
      </w:r>
      <w:r w:rsidR="00CD30C0" w:rsidRPr="00FA4313">
        <w:rPr>
          <w:rFonts w:ascii="Times New Roman" w:hAnsi="Times New Roman" w:cs="Times New Roman"/>
          <w:sz w:val="24"/>
          <w:szCs w:val="24"/>
        </w:rPr>
        <w:t>2019/</w:t>
      </w:r>
      <w:r w:rsidRPr="00FA4313">
        <w:rPr>
          <w:rFonts w:ascii="Times New Roman" w:hAnsi="Times New Roman" w:cs="Times New Roman"/>
          <w:sz w:val="24"/>
          <w:szCs w:val="24"/>
        </w:rPr>
        <w:t xml:space="preserve">2020 </w:t>
      </w:r>
      <w:r w:rsidR="007B791F" w:rsidRPr="00FA4313">
        <w:rPr>
          <w:rFonts w:ascii="Times New Roman" w:hAnsi="Times New Roman" w:cs="Times New Roman"/>
          <w:sz w:val="24"/>
          <w:szCs w:val="24"/>
        </w:rPr>
        <w:t>was</w:t>
      </w:r>
      <w:r w:rsidR="005561A0" w:rsidRPr="00FA4313">
        <w:rPr>
          <w:rFonts w:ascii="Times New Roman" w:hAnsi="Times New Roman" w:cs="Times New Roman"/>
          <w:sz w:val="24"/>
          <w:szCs w:val="24"/>
        </w:rPr>
        <w:t xml:space="preserve"> </w:t>
      </w:r>
      <w:r w:rsidRPr="00FA4313">
        <w:rPr>
          <w:rFonts w:ascii="Times New Roman" w:hAnsi="Times New Roman" w:cs="Times New Roman"/>
          <w:sz w:val="24"/>
          <w:szCs w:val="24"/>
        </w:rPr>
        <w:t>ZAR3</w:t>
      </w:r>
      <w:r w:rsidR="00CD30C0" w:rsidRPr="00FA4313">
        <w:rPr>
          <w:rFonts w:ascii="Times New Roman" w:hAnsi="Times New Roman" w:cs="Times New Roman"/>
          <w:sz w:val="24"/>
          <w:szCs w:val="24"/>
        </w:rPr>
        <w:t>.158</w:t>
      </w:r>
      <w:r w:rsidRPr="00FA4313">
        <w:rPr>
          <w:rFonts w:ascii="Times New Roman" w:hAnsi="Times New Roman" w:cs="Times New Roman"/>
          <w:sz w:val="24"/>
          <w:szCs w:val="24"/>
        </w:rPr>
        <w:t xml:space="preserve"> billion</w:t>
      </w:r>
      <w:r w:rsidR="007B791F" w:rsidRPr="00FA4313">
        <w:rPr>
          <w:rFonts w:ascii="Times New Roman" w:hAnsi="Times New Roman" w:cs="Times New Roman"/>
          <w:sz w:val="24"/>
          <w:szCs w:val="24"/>
        </w:rPr>
        <w:t xml:space="preserve"> and in 2020/21 it was ZAR2.802</w:t>
      </w:r>
      <w:r w:rsidRPr="00FA4313">
        <w:rPr>
          <w:rFonts w:ascii="Times New Roman" w:hAnsi="Times New Roman" w:cs="Times New Roman"/>
          <w:sz w:val="24"/>
          <w:szCs w:val="24"/>
        </w:rPr>
        <w:t xml:space="preserve">. Drawing ZAR1.201 </w:t>
      </w:r>
      <w:r w:rsidR="00AA0AAF" w:rsidRPr="00FA4313">
        <w:rPr>
          <w:rFonts w:ascii="Times New Roman" w:hAnsi="Times New Roman" w:cs="Times New Roman"/>
          <w:sz w:val="24"/>
          <w:szCs w:val="24"/>
        </w:rPr>
        <w:t>billion in 2021/22 and ZAR1.188 billion in 2022/23</w:t>
      </w:r>
      <w:r w:rsidRPr="00FA4313">
        <w:rPr>
          <w:rFonts w:ascii="Times New Roman" w:hAnsi="Times New Roman" w:cs="Times New Roman"/>
          <w:sz w:val="24"/>
          <w:szCs w:val="24"/>
        </w:rPr>
        <w:t xml:space="preserve"> </w:t>
      </w:r>
      <w:r w:rsidR="00AA0AAF" w:rsidRPr="00FA4313">
        <w:rPr>
          <w:rFonts w:ascii="Times New Roman" w:hAnsi="Times New Roman" w:cs="Times New Roman"/>
          <w:sz w:val="24"/>
          <w:szCs w:val="24"/>
        </w:rPr>
        <w:t>has left</w:t>
      </w:r>
      <w:r w:rsidRPr="00FA4313">
        <w:rPr>
          <w:rFonts w:ascii="Times New Roman" w:hAnsi="Times New Roman" w:cs="Times New Roman"/>
          <w:sz w:val="24"/>
          <w:szCs w:val="24"/>
        </w:rPr>
        <w:t xml:space="preserve"> </w:t>
      </w:r>
      <w:r w:rsidR="00E11880" w:rsidRPr="00FA4313">
        <w:rPr>
          <w:rFonts w:ascii="Times New Roman" w:hAnsi="Times New Roman" w:cs="Times New Roman"/>
          <w:sz w:val="24"/>
          <w:szCs w:val="24"/>
        </w:rPr>
        <w:t xml:space="preserve">only </w:t>
      </w:r>
      <w:r w:rsidRPr="00FA4313">
        <w:rPr>
          <w:rFonts w:ascii="Times New Roman" w:hAnsi="Times New Roman" w:cs="Times New Roman"/>
          <w:sz w:val="24"/>
          <w:szCs w:val="24"/>
        </w:rPr>
        <w:t xml:space="preserve">ZAR </w:t>
      </w:r>
      <w:r w:rsidR="00AA0AAF" w:rsidRPr="00FA4313">
        <w:rPr>
          <w:rFonts w:ascii="Times New Roman" w:hAnsi="Times New Roman" w:cs="Times New Roman"/>
          <w:sz w:val="24"/>
          <w:szCs w:val="24"/>
        </w:rPr>
        <w:t>645</w:t>
      </w:r>
      <w:r w:rsidRPr="00FA4313">
        <w:rPr>
          <w:rFonts w:ascii="Times New Roman" w:hAnsi="Times New Roman" w:cs="Times New Roman"/>
          <w:sz w:val="24"/>
          <w:szCs w:val="24"/>
        </w:rPr>
        <w:t xml:space="preserve"> </w:t>
      </w:r>
      <w:r w:rsidR="00AA0AAF" w:rsidRPr="00FA4313">
        <w:rPr>
          <w:rFonts w:ascii="Times New Roman" w:hAnsi="Times New Roman" w:cs="Times New Roman"/>
          <w:sz w:val="24"/>
          <w:szCs w:val="24"/>
        </w:rPr>
        <w:t xml:space="preserve">million </w:t>
      </w:r>
      <w:r w:rsidRPr="00FA4313">
        <w:rPr>
          <w:rFonts w:ascii="Times New Roman" w:hAnsi="Times New Roman" w:cs="Times New Roman"/>
          <w:sz w:val="24"/>
          <w:szCs w:val="24"/>
        </w:rPr>
        <w:t>in the account</w:t>
      </w:r>
      <w:r w:rsidR="00225CD2" w:rsidRPr="00FA4313">
        <w:rPr>
          <w:rFonts w:ascii="Times New Roman" w:hAnsi="Times New Roman" w:cs="Times New Roman"/>
          <w:sz w:val="24"/>
          <w:szCs w:val="24"/>
        </w:rPr>
        <w:t xml:space="preserve"> (PRSA, 2021b)</w:t>
      </w:r>
      <w:r w:rsidRPr="00FA4313">
        <w:rPr>
          <w:rFonts w:ascii="Times New Roman" w:hAnsi="Times New Roman" w:cs="Times New Roman"/>
          <w:sz w:val="24"/>
          <w:szCs w:val="24"/>
        </w:rPr>
        <w:t>. Obviously drawing so extensively on the ETIMC is not a long-term sustainable strategy for keeping TNPA prices low and stable.</w:t>
      </w:r>
    </w:p>
    <w:p w14:paraId="71AD3803" w14:textId="62E6B211" w:rsidR="00E9220A" w:rsidRPr="00FA4313" w:rsidRDefault="0065534A"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F</w:t>
      </w:r>
      <w:r w:rsidR="00A656F0" w:rsidRPr="00FA4313">
        <w:rPr>
          <w:rFonts w:ascii="Times New Roman" w:hAnsi="Times New Roman" w:cs="Times New Roman"/>
          <w:sz w:val="24"/>
          <w:szCs w:val="24"/>
        </w:rPr>
        <w:t xml:space="preserve">or </w:t>
      </w:r>
      <w:r w:rsidRPr="00FA4313">
        <w:rPr>
          <w:rFonts w:ascii="Times New Roman" w:hAnsi="Times New Roman" w:cs="Times New Roman"/>
          <w:sz w:val="24"/>
          <w:szCs w:val="24"/>
        </w:rPr>
        <w:t xml:space="preserve">the </w:t>
      </w:r>
      <w:r w:rsidR="00A656F0" w:rsidRPr="00FA4313">
        <w:rPr>
          <w:rFonts w:ascii="Times New Roman" w:hAnsi="Times New Roman" w:cs="Times New Roman"/>
          <w:sz w:val="24"/>
          <w:szCs w:val="24"/>
        </w:rPr>
        <w:t>2022/2023 tariff year (1 April 2022 to 31 March 2023), the NPA use</w:t>
      </w:r>
      <w:r w:rsidRPr="00FA4313">
        <w:rPr>
          <w:rFonts w:ascii="Times New Roman" w:hAnsi="Times New Roman" w:cs="Times New Roman"/>
          <w:sz w:val="24"/>
          <w:szCs w:val="24"/>
        </w:rPr>
        <w:t>d</w:t>
      </w:r>
      <w:r w:rsidR="00A656F0" w:rsidRPr="00FA4313">
        <w:rPr>
          <w:rFonts w:ascii="Times New Roman" w:hAnsi="Times New Roman" w:cs="Times New Roman"/>
          <w:sz w:val="24"/>
          <w:szCs w:val="24"/>
        </w:rPr>
        <w:t xml:space="preserve"> the RR model to calculate an increase of 23,96%.  However, by asking the Regulator to allow ZAR 1.251 billion to be used/drawn</w:t>
      </w:r>
      <w:r w:rsidR="001407ED" w:rsidRPr="00FA4313">
        <w:rPr>
          <w:rFonts w:ascii="Times New Roman" w:hAnsi="Times New Roman" w:cs="Times New Roman"/>
          <w:sz w:val="24"/>
          <w:szCs w:val="24"/>
        </w:rPr>
        <w:t xml:space="preserve"> </w:t>
      </w:r>
      <w:r w:rsidR="00A656F0" w:rsidRPr="00FA4313">
        <w:rPr>
          <w:rFonts w:ascii="Times New Roman" w:hAnsi="Times New Roman" w:cs="Times New Roman"/>
          <w:sz w:val="24"/>
          <w:szCs w:val="24"/>
        </w:rPr>
        <w:t>(subsidised) from the ETIMC, the NPA were able to make an application for a weighted average increase of 9.4%. Nevertheless, due to the tariff strategy agreed between the NPA and P</w:t>
      </w:r>
      <w:r w:rsidR="00FC29AC" w:rsidRPr="00FA4313">
        <w:rPr>
          <w:rFonts w:ascii="Times New Roman" w:hAnsi="Times New Roman" w:cs="Times New Roman"/>
          <w:sz w:val="24"/>
          <w:szCs w:val="24"/>
        </w:rPr>
        <w:t>RSA</w:t>
      </w:r>
      <w:r w:rsidR="00A656F0" w:rsidRPr="00FA4313">
        <w:rPr>
          <w:rFonts w:ascii="Times New Roman" w:hAnsi="Times New Roman" w:cs="Times New Roman"/>
          <w:sz w:val="24"/>
          <w:szCs w:val="24"/>
        </w:rPr>
        <w:t>, this means that, for example, marine services wo</w:t>
      </w:r>
      <w:r w:rsidR="00F20CD3" w:rsidRPr="00FA4313">
        <w:rPr>
          <w:rFonts w:ascii="Times New Roman" w:hAnsi="Times New Roman" w:cs="Times New Roman"/>
          <w:sz w:val="24"/>
          <w:szCs w:val="24"/>
        </w:rPr>
        <w:t>u</w:t>
      </w:r>
      <w:r w:rsidR="00A656F0" w:rsidRPr="00FA4313">
        <w:rPr>
          <w:rFonts w:ascii="Times New Roman" w:hAnsi="Times New Roman" w:cs="Times New Roman"/>
          <w:sz w:val="24"/>
          <w:szCs w:val="24"/>
        </w:rPr>
        <w:t>ld increase by 17</w:t>
      </w:r>
      <w:r w:rsidR="00370C05" w:rsidRPr="00FA4313">
        <w:rPr>
          <w:rFonts w:ascii="Times New Roman" w:hAnsi="Times New Roman" w:cs="Times New Roman"/>
          <w:sz w:val="24"/>
          <w:szCs w:val="24"/>
        </w:rPr>
        <w:t>,</w:t>
      </w:r>
      <w:r w:rsidR="00A656F0" w:rsidRPr="00FA4313">
        <w:rPr>
          <w:rFonts w:ascii="Times New Roman" w:hAnsi="Times New Roman" w:cs="Times New Roman"/>
          <w:sz w:val="24"/>
          <w:szCs w:val="24"/>
        </w:rPr>
        <w:t>83%, coal exports by 12% and automotive trade 0%. Such increases are undesirable for port users and especially shipping lines. Furthermore, the substantial ZAR 1.251 draw down from the ETIMC is not sustainable. Indeed, there is insufficient funds in the ETIMC to allow for another withdrawal of such a magnitude and the NPA application forecasts that they would be able to only draw down about ZAR 499 for the 2023/24 tariff year and ZAR 0 is forecast for the 2024/25 tariff year</w:t>
      </w:r>
      <w:r w:rsidR="00F51382" w:rsidRPr="00FA4313">
        <w:rPr>
          <w:rFonts w:ascii="Times New Roman" w:hAnsi="Times New Roman" w:cs="Times New Roman"/>
          <w:sz w:val="24"/>
          <w:szCs w:val="24"/>
        </w:rPr>
        <w:t xml:space="preserve"> </w:t>
      </w:r>
      <w:r w:rsidR="00A656F0" w:rsidRPr="00FA4313">
        <w:rPr>
          <w:rFonts w:ascii="Times New Roman" w:hAnsi="Times New Roman" w:cs="Times New Roman"/>
          <w:sz w:val="24"/>
          <w:szCs w:val="24"/>
        </w:rPr>
        <w:t>(</w:t>
      </w:r>
      <w:r w:rsidR="000A3A61" w:rsidRPr="00FA4313">
        <w:rPr>
          <w:rFonts w:ascii="Times New Roman" w:hAnsi="Times New Roman" w:cs="Times New Roman"/>
          <w:sz w:val="24"/>
          <w:szCs w:val="24"/>
        </w:rPr>
        <w:t>T</w:t>
      </w:r>
      <w:r w:rsidR="00A656F0" w:rsidRPr="00FA4313">
        <w:rPr>
          <w:rFonts w:ascii="Times New Roman" w:hAnsi="Times New Roman" w:cs="Times New Roman"/>
          <w:sz w:val="24"/>
          <w:szCs w:val="24"/>
        </w:rPr>
        <w:t xml:space="preserve">NPA </w:t>
      </w:r>
      <w:r w:rsidR="000A3A61" w:rsidRPr="00FA4313">
        <w:rPr>
          <w:rFonts w:ascii="Times New Roman" w:hAnsi="Times New Roman" w:cs="Times New Roman"/>
          <w:sz w:val="24"/>
          <w:szCs w:val="24"/>
        </w:rPr>
        <w:t>2021). A</w:t>
      </w:r>
      <w:r w:rsidR="00A656F0" w:rsidRPr="00FA4313">
        <w:rPr>
          <w:rFonts w:ascii="Times New Roman" w:hAnsi="Times New Roman" w:cs="Times New Roman"/>
          <w:sz w:val="24"/>
          <w:szCs w:val="24"/>
        </w:rPr>
        <w:t xml:space="preserve">ccordingly, our scenario analyses show the impact </w:t>
      </w:r>
      <w:r w:rsidR="00B04B8D" w:rsidRPr="00FA4313">
        <w:rPr>
          <w:rFonts w:ascii="Times New Roman" w:hAnsi="Times New Roman" w:cs="Times New Roman"/>
          <w:sz w:val="24"/>
          <w:szCs w:val="24"/>
        </w:rPr>
        <w:t xml:space="preserve">of adjusting the value drawn from </w:t>
      </w:r>
      <w:r w:rsidR="00A656F0" w:rsidRPr="00FA4313">
        <w:rPr>
          <w:rFonts w:ascii="Times New Roman" w:hAnsi="Times New Roman" w:cs="Times New Roman"/>
          <w:sz w:val="24"/>
          <w:szCs w:val="24"/>
        </w:rPr>
        <w:t>the ETIMC</w:t>
      </w:r>
      <w:r w:rsidR="00B04B8D" w:rsidRPr="00FA4313">
        <w:rPr>
          <w:rFonts w:ascii="Times New Roman" w:hAnsi="Times New Roman" w:cs="Times New Roman"/>
          <w:sz w:val="24"/>
          <w:szCs w:val="24"/>
        </w:rPr>
        <w:t xml:space="preserve"> on tariffs</w:t>
      </w:r>
      <w:r w:rsidR="00A656F0" w:rsidRPr="00FA4313">
        <w:rPr>
          <w:rFonts w:ascii="Times New Roman" w:hAnsi="Times New Roman" w:cs="Times New Roman"/>
          <w:sz w:val="24"/>
          <w:szCs w:val="24"/>
        </w:rPr>
        <w:t xml:space="preserve">.   </w:t>
      </w:r>
    </w:p>
    <w:p w14:paraId="1D4AC05B" w14:textId="77777777"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The 2022/23 NPA tariff application of 23.96%, reduced to 9.4% by using the ETIMC, partly shows the impact of COVID lockdowns on lower trade volumes, but also includes an assumption that the NPA is a subsidiary of Transnet and therefore allowed a pass-</w:t>
      </w:r>
      <w:r w:rsidR="00F51382" w:rsidRPr="00FA4313">
        <w:rPr>
          <w:rFonts w:ascii="Times New Roman" w:hAnsi="Times New Roman" w:cs="Times New Roman"/>
          <w:sz w:val="24"/>
          <w:szCs w:val="24"/>
        </w:rPr>
        <w:t>through</w:t>
      </w:r>
      <w:r w:rsidRPr="00FA4313">
        <w:rPr>
          <w:rFonts w:ascii="Times New Roman" w:hAnsi="Times New Roman" w:cs="Times New Roman"/>
          <w:sz w:val="24"/>
          <w:szCs w:val="24"/>
        </w:rPr>
        <w:t xml:space="preserve"> of corporate tax at 28%. However, at the time of the NPA application</w:t>
      </w:r>
      <w:r w:rsidR="00BE19DD" w:rsidRPr="00FA4313">
        <w:rPr>
          <w:rFonts w:ascii="Times New Roman" w:hAnsi="Times New Roman" w:cs="Times New Roman"/>
          <w:sz w:val="24"/>
          <w:szCs w:val="24"/>
        </w:rPr>
        <w:t>,</w:t>
      </w:r>
      <w:r w:rsidRPr="00FA4313">
        <w:rPr>
          <w:rFonts w:ascii="Times New Roman" w:hAnsi="Times New Roman" w:cs="Times New Roman"/>
          <w:sz w:val="24"/>
          <w:szCs w:val="24"/>
        </w:rPr>
        <w:t xml:space="preserve"> and </w:t>
      </w:r>
      <w:r w:rsidR="00BE19DD" w:rsidRPr="00FA4313">
        <w:rPr>
          <w:rFonts w:ascii="Times New Roman" w:hAnsi="Times New Roman" w:cs="Times New Roman"/>
          <w:sz w:val="24"/>
          <w:szCs w:val="24"/>
        </w:rPr>
        <w:t>the writing of</w:t>
      </w:r>
      <w:r w:rsidRPr="00FA4313">
        <w:rPr>
          <w:rFonts w:ascii="Times New Roman" w:hAnsi="Times New Roman" w:cs="Times New Roman"/>
          <w:sz w:val="24"/>
          <w:szCs w:val="24"/>
        </w:rPr>
        <w:t xml:space="preserve"> this article, the NPA </w:t>
      </w:r>
      <w:r w:rsidR="00F51382" w:rsidRPr="00FA4313">
        <w:rPr>
          <w:rFonts w:ascii="Times New Roman" w:hAnsi="Times New Roman" w:cs="Times New Roman"/>
          <w:sz w:val="24"/>
          <w:szCs w:val="24"/>
        </w:rPr>
        <w:t>wa</w:t>
      </w:r>
      <w:r w:rsidRPr="00FA4313">
        <w:rPr>
          <w:rFonts w:ascii="Times New Roman" w:hAnsi="Times New Roman" w:cs="Times New Roman"/>
          <w:sz w:val="24"/>
          <w:szCs w:val="24"/>
        </w:rPr>
        <w:t xml:space="preserve">s still a division and therefore only entitled to use the equitable tax rate (that on average is annually about 15%). In other words, the NPA’s 2022/23 tariff application uses a 28% corporate tax rate and this is incorrect as it should be using an equitable (proportional) tax rate which is about 15%. Accordingly, the </w:t>
      </w:r>
      <w:r w:rsidR="00F51382" w:rsidRPr="00FA4313">
        <w:rPr>
          <w:rFonts w:ascii="Times New Roman" w:hAnsi="Times New Roman" w:cs="Times New Roman"/>
          <w:sz w:val="24"/>
          <w:szCs w:val="24"/>
        </w:rPr>
        <w:t xml:space="preserve">following </w:t>
      </w:r>
      <w:r w:rsidRPr="00FA4313">
        <w:rPr>
          <w:rFonts w:ascii="Times New Roman" w:hAnsi="Times New Roman" w:cs="Times New Roman"/>
          <w:sz w:val="24"/>
          <w:szCs w:val="24"/>
        </w:rPr>
        <w:t xml:space="preserve">section uses the RR model to calculate the impact on revenues and tariffs of using an equitable tax rate (assumed </w:t>
      </w:r>
      <w:r w:rsidR="00644173" w:rsidRPr="00FA4313">
        <w:rPr>
          <w:rFonts w:ascii="Times New Roman" w:hAnsi="Times New Roman" w:cs="Times New Roman"/>
          <w:sz w:val="24"/>
          <w:szCs w:val="24"/>
        </w:rPr>
        <w:t>to be</w:t>
      </w:r>
      <w:r w:rsidRPr="00FA4313">
        <w:rPr>
          <w:rFonts w:ascii="Times New Roman" w:hAnsi="Times New Roman" w:cs="Times New Roman"/>
          <w:sz w:val="24"/>
          <w:szCs w:val="24"/>
        </w:rPr>
        <w:t xml:space="preserve"> 15.5%) rather than the 28% tax. </w:t>
      </w:r>
    </w:p>
    <w:p w14:paraId="57C220E0" w14:textId="77777777" w:rsidR="00E9220A" w:rsidRPr="00FA4313" w:rsidRDefault="00E9220A" w:rsidP="00FA4313">
      <w:pPr>
        <w:spacing w:after="0" w:line="240" w:lineRule="auto"/>
        <w:jc w:val="both"/>
        <w:rPr>
          <w:rFonts w:ascii="Times New Roman" w:hAnsi="Times New Roman" w:cs="Times New Roman"/>
          <w:sz w:val="24"/>
          <w:szCs w:val="24"/>
        </w:rPr>
      </w:pPr>
    </w:p>
    <w:p w14:paraId="4D740598" w14:textId="74F5B8F4" w:rsidR="00E9220A" w:rsidRDefault="00A656F0" w:rsidP="00FA4313">
      <w:pPr>
        <w:numPr>
          <w:ilvl w:val="0"/>
          <w:numId w:val="1"/>
        </w:numPr>
        <w:spacing w:after="0" w:line="240" w:lineRule="auto"/>
        <w:ind w:hanging="720"/>
        <w:jc w:val="both"/>
        <w:rPr>
          <w:rFonts w:ascii="Times New Roman" w:hAnsi="Times New Roman" w:cs="Times New Roman"/>
          <w:b/>
          <w:sz w:val="24"/>
          <w:szCs w:val="24"/>
        </w:rPr>
      </w:pPr>
      <w:bookmarkStart w:id="3" w:name="_Hlk96336767"/>
      <w:r w:rsidRPr="00FA4313">
        <w:rPr>
          <w:rFonts w:ascii="Times New Roman" w:hAnsi="Times New Roman" w:cs="Times New Roman"/>
          <w:b/>
          <w:sz w:val="24"/>
          <w:szCs w:val="24"/>
        </w:rPr>
        <w:t xml:space="preserve">Revenue Required </w:t>
      </w:r>
      <w:bookmarkEnd w:id="3"/>
      <w:r w:rsidRPr="00FA4313">
        <w:rPr>
          <w:rFonts w:ascii="Times New Roman" w:hAnsi="Times New Roman" w:cs="Times New Roman"/>
          <w:b/>
          <w:sz w:val="24"/>
          <w:szCs w:val="24"/>
        </w:rPr>
        <w:t>Results</w:t>
      </w:r>
      <w:r w:rsidR="00437950" w:rsidRPr="00FA4313">
        <w:rPr>
          <w:rFonts w:ascii="Times New Roman" w:hAnsi="Times New Roman" w:cs="Times New Roman"/>
          <w:b/>
          <w:sz w:val="24"/>
          <w:szCs w:val="24"/>
        </w:rPr>
        <w:t xml:space="preserve"> and Discussion</w:t>
      </w:r>
    </w:p>
    <w:p w14:paraId="11C56B3E" w14:textId="77777777" w:rsidR="0029616D" w:rsidRPr="00FA4313" w:rsidRDefault="0029616D" w:rsidP="0029616D">
      <w:pPr>
        <w:spacing w:after="0" w:line="240" w:lineRule="auto"/>
        <w:ind w:left="720"/>
        <w:jc w:val="both"/>
        <w:rPr>
          <w:rFonts w:ascii="Times New Roman" w:hAnsi="Times New Roman" w:cs="Times New Roman"/>
          <w:b/>
          <w:sz w:val="24"/>
          <w:szCs w:val="24"/>
        </w:rPr>
      </w:pPr>
    </w:p>
    <w:p w14:paraId="77077859" w14:textId="67983A56" w:rsidR="00FE48AE" w:rsidRPr="00FA4313" w:rsidRDefault="00A70FCC"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This section</w:t>
      </w:r>
      <w:r w:rsidR="00AD3F94" w:rsidRPr="00FA4313">
        <w:rPr>
          <w:rFonts w:ascii="Times New Roman" w:hAnsi="Times New Roman" w:cs="Times New Roman"/>
          <w:sz w:val="24"/>
          <w:szCs w:val="24"/>
        </w:rPr>
        <w:t xml:space="preserve"> </w:t>
      </w:r>
      <w:r w:rsidR="00C05E7A" w:rsidRPr="00FA4313">
        <w:rPr>
          <w:rFonts w:ascii="Times New Roman" w:hAnsi="Times New Roman" w:cs="Times New Roman"/>
          <w:sz w:val="24"/>
          <w:szCs w:val="24"/>
        </w:rPr>
        <w:t>shows the results from using the RR model to calculate potential NPA revenues and the associated tariff adjustments under five distinct scenarios. The discussion of each scenario</w:t>
      </w:r>
      <w:r w:rsidRPr="00FA4313">
        <w:rPr>
          <w:rFonts w:ascii="Times New Roman" w:hAnsi="Times New Roman" w:cs="Times New Roman"/>
          <w:sz w:val="24"/>
          <w:szCs w:val="24"/>
        </w:rPr>
        <w:t>, below table 1,</w:t>
      </w:r>
      <w:r w:rsidR="005E2DFE" w:rsidRPr="00FA4313">
        <w:rPr>
          <w:rFonts w:ascii="Times New Roman" w:hAnsi="Times New Roman" w:cs="Times New Roman"/>
          <w:sz w:val="24"/>
          <w:szCs w:val="24"/>
        </w:rPr>
        <w:t xml:space="preserve"> </w:t>
      </w:r>
      <w:r w:rsidR="00C05E7A" w:rsidRPr="00FA4313">
        <w:rPr>
          <w:rFonts w:ascii="Times New Roman" w:hAnsi="Times New Roman" w:cs="Times New Roman"/>
          <w:sz w:val="24"/>
          <w:szCs w:val="24"/>
        </w:rPr>
        <w:t>begins with a brief explanation about the main differences in assumptions about: the value of the regulatory asset base (RAB), the asset beta, the tax percentage to be used; and the use or not of the ETIMC. Adjusting these values in the RR calculation will then result in significant changes to the revenue required and the associated tariff adjustments.</w:t>
      </w:r>
    </w:p>
    <w:p w14:paraId="5602DC31" w14:textId="77777777" w:rsidR="00FE48AE" w:rsidRPr="00FA4313" w:rsidRDefault="00FE48AE"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5D2DEC9E" w14:textId="77777777" w:rsidR="00E9220A" w:rsidRPr="00FA4313" w:rsidRDefault="00A656F0" w:rsidP="00FA4313">
      <w:pPr>
        <w:spacing w:after="0" w:line="240" w:lineRule="auto"/>
        <w:jc w:val="both"/>
        <w:rPr>
          <w:rFonts w:ascii="Times New Roman" w:hAnsi="Times New Roman" w:cs="Times New Roman"/>
          <w:b/>
          <w:sz w:val="24"/>
          <w:szCs w:val="24"/>
        </w:rPr>
      </w:pPr>
      <w:r w:rsidRPr="00FA4313">
        <w:rPr>
          <w:rFonts w:ascii="Times New Roman" w:hAnsi="Times New Roman" w:cs="Times New Roman"/>
          <w:b/>
          <w:sz w:val="24"/>
          <w:szCs w:val="24"/>
        </w:rPr>
        <w:lastRenderedPageBreak/>
        <w:t xml:space="preserve">Table </w:t>
      </w:r>
      <w:r w:rsidR="003A112F" w:rsidRPr="00FA4313">
        <w:rPr>
          <w:rFonts w:ascii="Times New Roman" w:hAnsi="Times New Roman" w:cs="Times New Roman"/>
          <w:b/>
          <w:sz w:val="24"/>
          <w:szCs w:val="24"/>
        </w:rPr>
        <w:t>1</w:t>
      </w:r>
      <w:r w:rsidRPr="00FA4313">
        <w:rPr>
          <w:rFonts w:ascii="Times New Roman" w:hAnsi="Times New Roman" w:cs="Times New Roman"/>
          <w:b/>
          <w:sz w:val="24"/>
          <w:szCs w:val="24"/>
        </w:rPr>
        <w:t>. Recalculation of the NPA Tariff Application for 2022/23: Five Scenarios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1206"/>
        <w:gridCol w:w="1318"/>
        <w:gridCol w:w="1318"/>
        <w:gridCol w:w="1318"/>
        <w:gridCol w:w="1318"/>
      </w:tblGrid>
      <w:tr w:rsidR="00E9220A" w:rsidRPr="00FA4313" w14:paraId="56B22B70" w14:textId="77777777">
        <w:trPr>
          <w:trHeight w:val="290"/>
        </w:trPr>
        <w:tc>
          <w:tcPr>
            <w:tcW w:w="2538" w:type="dxa"/>
          </w:tcPr>
          <w:p w14:paraId="45DB3EBE" w14:textId="77777777" w:rsidR="00E9220A" w:rsidRPr="00FA4313" w:rsidRDefault="00E9220A" w:rsidP="00FA4313">
            <w:pPr>
              <w:jc w:val="both"/>
              <w:rPr>
                <w:rFonts w:ascii="Times New Roman" w:hAnsi="Times New Roman" w:cs="Times New Roman"/>
                <w:sz w:val="24"/>
                <w:szCs w:val="24"/>
              </w:rPr>
            </w:pPr>
          </w:p>
        </w:tc>
        <w:tc>
          <w:tcPr>
            <w:tcW w:w="1206" w:type="dxa"/>
          </w:tcPr>
          <w:p w14:paraId="0702D498"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Scenario 1</w:t>
            </w:r>
          </w:p>
        </w:tc>
        <w:tc>
          <w:tcPr>
            <w:tcW w:w="1318" w:type="dxa"/>
          </w:tcPr>
          <w:p w14:paraId="12A28F55"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Scenario 2</w:t>
            </w:r>
          </w:p>
        </w:tc>
        <w:tc>
          <w:tcPr>
            <w:tcW w:w="1318" w:type="dxa"/>
          </w:tcPr>
          <w:p w14:paraId="016167A1"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Scenario 3</w:t>
            </w:r>
          </w:p>
        </w:tc>
        <w:tc>
          <w:tcPr>
            <w:tcW w:w="1318" w:type="dxa"/>
          </w:tcPr>
          <w:p w14:paraId="10D1445D"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Scenario 4</w:t>
            </w:r>
          </w:p>
        </w:tc>
        <w:tc>
          <w:tcPr>
            <w:tcW w:w="1318" w:type="dxa"/>
          </w:tcPr>
          <w:p w14:paraId="47385218"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Scenario 5</w:t>
            </w:r>
          </w:p>
        </w:tc>
      </w:tr>
      <w:tr w:rsidR="00E9220A" w:rsidRPr="00FA4313" w14:paraId="1DBAD2D3" w14:textId="77777777">
        <w:trPr>
          <w:trHeight w:val="290"/>
        </w:trPr>
        <w:tc>
          <w:tcPr>
            <w:tcW w:w="2538" w:type="dxa"/>
          </w:tcPr>
          <w:p w14:paraId="0C393937"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Main differences in RR model variable assumptions:</w:t>
            </w:r>
          </w:p>
        </w:tc>
        <w:tc>
          <w:tcPr>
            <w:tcW w:w="1206" w:type="dxa"/>
          </w:tcPr>
          <w:p w14:paraId="0A549813" w14:textId="77777777" w:rsidR="00E9220A" w:rsidRPr="00FA4313" w:rsidRDefault="00A656F0" w:rsidP="00FA4313">
            <w:pPr>
              <w:jc w:val="both"/>
              <w:rPr>
                <w:rFonts w:ascii="Times New Roman" w:hAnsi="Times New Roman" w:cs="Times New Roman"/>
                <w:sz w:val="24"/>
                <w:szCs w:val="24"/>
              </w:rPr>
            </w:pPr>
            <w:bookmarkStart w:id="4" w:name="_heading=h.3znysh7" w:colFirst="0" w:colLast="0"/>
            <w:bookmarkEnd w:id="4"/>
            <w:r w:rsidRPr="00FA4313">
              <w:rPr>
                <w:rFonts w:ascii="Times New Roman" w:hAnsi="Times New Roman" w:cs="Times New Roman"/>
                <w:sz w:val="24"/>
                <w:szCs w:val="24"/>
              </w:rPr>
              <w:t xml:space="preserve">NPA </w:t>
            </w:r>
            <w:r w:rsidR="00EE5B92" w:rsidRPr="00FA4313">
              <w:rPr>
                <w:rFonts w:ascii="Times New Roman" w:hAnsi="Times New Roman" w:cs="Times New Roman"/>
                <w:sz w:val="24"/>
                <w:szCs w:val="24"/>
              </w:rPr>
              <w:t>Application Assumes</w:t>
            </w:r>
            <w:r w:rsidRPr="00FA4313">
              <w:rPr>
                <w:rFonts w:ascii="Times New Roman" w:hAnsi="Times New Roman" w:cs="Times New Roman"/>
                <w:sz w:val="24"/>
                <w:szCs w:val="24"/>
              </w:rPr>
              <w:t xml:space="preserve"> Asset beta 0,35; present asset base; 28% tax; </w:t>
            </w:r>
          </w:p>
          <w:p w14:paraId="6A5AC10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No ETIMC</w:t>
            </w:r>
          </w:p>
        </w:tc>
        <w:tc>
          <w:tcPr>
            <w:tcW w:w="1318" w:type="dxa"/>
          </w:tcPr>
          <w:p w14:paraId="36AB34BB" w14:textId="77777777" w:rsidR="00E9220A" w:rsidRPr="00FA4313" w:rsidRDefault="00A656F0" w:rsidP="00FA4313">
            <w:pPr>
              <w:jc w:val="both"/>
              <w:rPr>
                <w:rFonts w:ascii="Times New Roman" w:hAnsi="Times New Roman" w:cs="Times New Roman"/>
                <w:sz w:val="24"/>
                <w:szCs w:val="24"/>
              </w:rPr>
            </w:pPr>
            <w:bookmarkStart w:id="5" w:name="_heading=h.2et92p0" w:colFirst="0" w:colLast="0"/>
            <w:bookmarkEnd w:id="5"/>
            <w:r w:rsidRPr="00FA4313">
              <w:rPr>
                <w:rFonts w:ascii="Times New Roman" w:hAnsi="Times New Roman" w:cs="Times New Roman"/>
                <w:sz w:val="24"/>
                <w:szCs w:val="24"/>
              </w:rPr>
              <w:t>RAB of R78 billion; 0,35 Asset beta; 15.5% proportional tax; No ETIMC</w:t>
            </w:r>
          </w:p>
        </w:tc>
        <w:tc>
          <w:tcPr>
            <w:tcW w:w="1318" w:type="dxa"/>
          </w:tcPr>
          <w:p w14:paraId="6112BCF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RAB of R78 billion; 0,35 asset beta; 15.5% proportional tax;</w:t>
            </w:r>
          </w:p>
          <w:p w14:paraId="26E7C05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ETIMC ZAR 1.2 billion</w:t>
            </w:r>
          </w:p>
        </w:tc>
        <w:tc>
          <w:tcPr>
            <w:tcW w:w="1318" w:type="dxa"/>
          </w:tcPr>
          <w:p w14:paraId="23CBCD4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RAB of R49 billion; 0 Asset beta; 15.5% proportional tax; No ETIMC</w:t>
            </w:r>
          </w:p>
        </w:tc>
        <w:tc>
          <w:tcPr>
            <w:tcW w:w="1318" w:type="dxa"/>
          </w:tcPr>
          <w:p w14:paraId="5C8F3C0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RAB of R49 billion; 0 Asset beta; 15.5% proportional tax;</w:t>
            </w:r>
          </w:p>
          <w:p w14:paraId="7DFE3EC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ETIMC of ZAR 1.2 billion</w:t>
            </w:r>
          </w:p>
        </w:tc>
      </w:tr>
      <w:tr w:rsidR="00E9220A" w:rsidRPr="00FA4313" w14:paraId="16F5522A" w14:textId="77777777">
        <w:trPr>
          <w:trHeight w:val="290"/>
        </w:trPr>
        <w:tc>
          <w:tcPr>
            <w:tcW w:w="2538" w:type="dxa"/>
          </w:tcPr>
          <w:p w14:paraId="2336B89A" w14:textId="77777777" w:rsidR="00E9220A" w:rsidRPr="00FA4313" w:rsidRDefault="00E9220A" w:rsidP="00FA4313">
            <w:pPr>
              <w:jc w:val="both"/>
              <w:rPr>
                <w:rFonts w:ascii="Times New Roman" w:hAnsi="Times New Roman" w:cs="Times New Roman"/>
                <w:sz w:val="24"/>
                <w:szCs w:val="24"/>
              </w:rPr>
            </w:pPr>
          </w:p>
        </w:tc>
        <w:tc>
          <w:tcPr>
            <w:tcW w:w="1206" w:type="dxa"/>
          </w:tcPr>
          <w:p w14:paraId="0554BE85" w14:textId="77777777" w:rsidR="00E9220A" w:rsidRPr="00FA4313" w:rsidRDefault="00A656F0" w:rsidP="00FA4313">
            <w:pPr>
              <w:jc w:val="both"/>
              <w:rPr>
                <w:rFonts w:ascii="Times New Roman" w:hAnsi="Times New Roman" w:cs="Times New Roman"/>
                <w:sz w:val="24"/>
                <w:szCs w:val="24"/>
              </w:rPr>
            </w:pPr>
            <w:proofErr w:type="spellStart"/>
            <w:r w:rsidRPr="00FA4313">
              <w:rPr>
                <w:rFonts w:ascii="Times New Roman" w:hAnsi="Times New Roman" w:cs="Times New Roman"/>
                <w:sz w:val="24"/>
                <w:szCs w:val="24"/>
              </w:rPr>
              <w:t>R'm</w:t>
            </w:r>
            <w:proofErr w:type="spellEnd"/>
          </w:p>
        </w:tc>
        <w:tc>
          <w:tcPr>
            <w:tcW w:w="1318" w:type="dxa"/>
          </w:tcPr>
          <w:p w14:paraId="1F1DAE3D" w14:textId="77777777" w:rsidR="00E9220A" w:rsidRPr="00FA4313" w:rsidRDefault="00A656F0" w:rsidP="00FA4313">
            <w:pPr>
              <w:jc w:val="both"/>
              <w:rPr>
                <w:rFonts w:ascii="Times New Roman" w:hAnsi="Times New Roman" w:cs="Times New Roman"/>
                <w:sz w:val="24"/>
                <w:szCs w:val="24"/>
              </w:rPr>
            </w:pPr>
            <w:proofErr w:type="spellStart"/>
            <w:r w:rsidRPr="00FA4313">
              <w:rPr>
                <w:rFonts w:ascii="Times New Roman" w:hAnsi="Times New Roman" w:cs="Times New Roman"/>
                <w:sz w:val="24"/>
                <w:szCs w:val="24"/>
              </w:rPr>
              <w:t>R'm</w:t>
            </w:r>
            <w:proofErr w:type="spellEnd"/>
          </w:p>
        </w:tc>
        <w:tc>
          <w:tcPr>
            <w:tcW w:w="1318" w:type="dxa"/>
          </w:tcPr>
          <w:p w14:paraId="50B21D4C" w14:textId="77777777" w:rsidR="00E9220A" w:rsidRPr="00FA4313" w:rsidRDefault="00A656F0" w:rsidP="00FA4313">
            <w:pPr>
              <w:jc w:val="both"/>
              <w:rPr>
                <w:rFonts w:ascii="Times New Roman" w:hAnsi="Times New Roman" w:cs="Times New Roman"/>
                <w:sz w:val="24"/>
                <w:szCs w:val="24"/>
              </w:rPr>
            </w:pPr>
            <w:proofErr w:type="spellStart"/>
            <w:r w:rsidRPr="00FA4313">
              <w:rPr>
                <w:rFonts w:ascii="Times New Roman" w:hAnsi="Times New Roman" w:cs="Times New Roman"/>
                <w:sz w:val="24"/>
                <w:szCs w:val="24"/>
              </w:rPr>
              <w:t>R'm</w:t>
            </w:r>
            <w:proofErr w:type="spellEnd"/>
          </w:p>
        </w:tc>
        <w:tc>
          <w:tcPr>
            <w:tcW w:w="1318" w:type="dxa"/>
          </w:tcPr>
          <w:p w14:paraId="5C1ABCDB" w14:textId="77777777" w:rsidR="00E9220A" w:rsidRPr="00FA4313" w:rsidRDefault="00A656F0" w:rsidP="00FA4313">
            <w:pPr>
              <w:jc w:val="both"/>
              <w:rPr>
                <w:rFonts w:ascii="Times New Roman" w:hAnsi="Times New Roman" w:cs="Times New Roman"/>
                <w:sz w:val="24"/>
                <w:szCs w:val="24"/>
              </w:rPr>
            </w:pPr>
            <w:proofErr w:type="spellStart"/>
            <w:r w:rsidRPr="00FA4313">
              <w:rPr>
                <w:rFonts w:ascii="Times New Roman" w:hAnsi="Times New Roman" w:cs="Times New Roman"/>
                <w:sz w:val="24"/>
                <w:szCs w:val="24"/>
              </w:rPr>
              <w:t>R'm</w:t>
            </w:r>
            <w:proofErr w:type="spellEnd"/>
          </w:p>
        </w:tc>
        <w:tc>
          <w:tcPr>
            <w:tcW w:w="1318" w:type="dxa"/>
          </w:tcPr>
          <w:p w14:paraId="08CC0C02" w14:textId="77777777" w:rsidR="00E9220A" w:rsidRPr="00FA4313" w:rsidRDefault="00A656F0" w:rsidP="00FA4313">
            <w:pPr>
              <w:jc w:val="both"/>
              <w:rPr>
                <w:rFonts w:ascii="Times New Roman" w:hAnsi="Times New Roman" w:cs="Times New Roman"/>
                <w:sz w:val="24"/>
                <w:szCs w:val="24"/>
              </w:rPr>
            </w:pPr>
            <w:proofErr w:type="spellStart"/>
            <w:r w:rsidRPr="00FA4313">
              <w:rPr>
                <w:rFonts w:ascii="Times New Roman" w:hAnsi="Times New Roman" w:cs="Times New Roman"/>
                <w:sz w:val="24"/>
                <w:szCs w:val="24"/>
              </w:rPr>
              <w:t>R'm</w:t>
            </w:r>
            <w:proofErr w:type="spellEnd"/>
          </w:p>
        </w:tc>
      </w:tr>
      <w:tr w:rsidR="00E9220A" w:rsidRPr="00FA4313" w14:paraId="175045FA" w14:textId="77777777">
        <w:trPr>
          <w:trHeight w:val="290"/>
        </w:trPr>
        <w:tc>
          <w:tcPr>
            <w:tcW w:w="2538" w:type="dxa"/>
          </w:tcPr>
          <w:p w14:paraId="5C5DD9E4"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Opening Net Book Value (1 April)</w:t>
            </w:r>
          </w:p>
        </w:tc>
        <w:tc>
          <w:tcPr>
            <w:tcW w:w="1206" w:type="dxa"/>
          </w:tcPr>
          <w:p w14:paraId="177CE85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78 447</w:t>
            </w:r>
          </w:p>
        </w:tc>
        <w:tc>
          <w:tcPr>
            <w:tcW w:w="1318" w:type="dxa"/>
          </w:tcPr>
          <w:p w14:paraId="2DEAAD7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78 447</w:t>
            </w:r>
          </w:p>
        </w:tc>
        <w:tc>
          <w:tcPr>
            <w:tcW w:w="1318" w:type="dxa"/>
          </w:tcPr>
          <w:p w14:paraId="1F0CC5B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78 447</w:t>
            </w:r>
          </w:p>
        </w:tc>
        <w:tc>
          <w:tcPr>
            <w:tcW w:w="1318" w:type="dxa"/>
          </w:tcPr>
          <w:p w14:paraId="48097BA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49 447</w:t>
            </w:r>
          </w:p>
        </w:tc>
        <w:tc>
          <w:tcPr>
            <w:tcW w:w="1318" w:type="dxa"/>
          </w:tcPr>
          <w:p w14:paraId="2EDAB4A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49 447</w:t>
            </w:r>
          </w:p>
        </w:tc>
      </w:tr>
      <w:tr w:rsidR="00E9220A" w:rsidRPr="00FA4313" w14:paraId="67099E90" w14:textId="77777777">
        <w:trPr>
          <w:trHeight w:val="290"/>
        </w:trPr>
        <w:tc>
          <w:tcPr>
            <w:tcW w:w="2538" w:type="dxa"/>
          </w:tcPr>
          <w:p w14:paraId="7D995837"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Inflation Indexation</w:t>
            </w:r>
          </w:p>
        </w:tc>
        <w:tc>
          <w:tcPr>
            <w:tcW w:w="1206" w:type="dxa"/>
          </w:tcPr>
          <w:p w14:paraId="7EDA325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3 452</w:t>
            </w:r>
          </w:p>
        </w:tc>
        <w:tc>
          <w:tcPr>
            <w:tcW w:w="1318" w:type="dxa"/>
          </w:tcPr>
          <w:p w14:paraId="13CAE15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3 452</w:t>
            </w:r>
          </w:p>
        </w:tc>
        <w:tc>
          <w:tcPr>
            <w:tcW w:w="1318" w:type="dxa"/>
          </w:tcPr>
          <w:p w14:paraId="6933B26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3 452</w:t>
            </w:r>
          </w:p>
        </w:tc>
        <w:tc>
          <w:tcPr>
            <w:tcW w:w="1318" w:type="dxa"/>
          </w:tcPr>
          <w:p w14:paraId="7F50E80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3 452</w:t>
            </w:r>
          </w:p>
        </w:tc>
        <w:tc>
          <w:tcPr>
            <w:tcW w:w="1318" w:type="dxa"/>
          </w:tcPr>
          <w:p w14:paraId="5DE2F62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3 452</w:t>
            </w:r>
          </w:p>
        </w:tc>
      </w:tr>
      <w:tr w:rsidR="00E9220A" w:rsidRPr="00FA4313" w14:paraId="4932FF74" w14:textId="77777777">
        <w:trPr>
          <w:trHeight w:val="290"/>
        </w:trPr>
        <w:tc>
          <w:tcPr>
            <w:tcW w:w="2538" w:type="dxa"/>
          </w:tcPr>
          <w:p w14:paraId="7714F232"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CAPEX Indexation</w:t>
            </w:r>
          </w:p>
        </w:tc>
        <w:tc>
          <w:tcPr>
            <w:tcW w:w="1206" w:type="dxa"/>
          </w:tcPr>
          <w:p w14:paraId="799C59FA" w14:textId="77777777" w:rsidR="00E9220A" w:rsidRPr="00FA4313" w:rsidRDefault="00E9220A" w:rsidP="00FA4313">
            <w:pPr>
              <w:jc w:val="both"/>
              <w:rPr>
                <w:rFonts w:ascii="Times New Roman" w:hAnsi="Times New Roman" w:cs="Times New Roman"/>
                <w:sz w:val="24"/>
                <w:szCs w:val="24"/>
              </w:rPr>
            </w:pPr>
          </w:p>
        </w:tc>
        <w:tc>
          <w:tcPr>
            <w:tcW w:w="1318" w:type="dxa"/>
          </w:tcPr>
          <w:p w14:paraId="7E34C8B9" w14:textId="77777777" w:rsidR="00E9220A" w:rsidRPr="00FA4313" w:rsidRDefault="00E9220A" w:rsidP="00FA4313">
            <w:pPr>
              <w:jc w:val="both"/>
              <w:rPr>
                <w:rFonts w:ascii="Times New Roman" w:hAnsi="Times New Roman" w:cs="Times New Roman"/>
                <w:sz w:val="24"/>
                <w:szCs w:val="24"/>
              </w:rPr>
            </w:pPr>
          </w:p>
        </w:tc>
        <w:tc>
          <w:tcPr>
            <w:tcW w:w="1318" w:type="dxa"/>
          </w:tcPr>
          <w:p w14:paraId="4A05599E" w14:textId="77777777" w:rsidR="00E9220A" w:rsidRPr="00FA4313" w:rsidRDefault="00E9220A" w:rsidP="00FA4313">
            <w:pPr>
              <w:jc w:val="both"/>
              <w:rPr>
                <w:rFonts w:ascii="Times New Roman" w:hAnsi="Times New Roman" w:cs="Times New Roman"/>
                <w:sz w:val="24"/>
                <w:szCs w:val="24"/>
              </w:rPr>
            </w:pPr>
          </w:p>
        </w:tc>
        <w:tc>
          <w:tcPr>
            <w:tcW w:w="1318" w:type="dxa"/>
          </w:tcPr>
          <w:p w14:paraId="4A4BD857" w14:textId="77777777" w:rsidR="00E9220A" w:rsidRPr="00FA4313" w:rsidRDefault="00E9220A" w:rsidP="00FA4313">
            <w:pPr>
              <w:jc w:val="both"/>
              <w:rPr>
                <w:rFonts w:ascii="Times New Roman" w:hAnsi="Times New Roman" w:cs="Times New Roman"/>
                <w:sz w:val="24"/>
                <w:szCs w:val="24"/>
              </w:rPr>
            </w:pPr>
          </w:p>
        </w:tc>
        <w:tc>
          <w:tcPr>
            <w:tcW w:w="1318" w:type="dxa"/>
          </w:tcPr>
          <w:p w14:paraId="5AB7688E" w14:textId="77777777" w:rsidR="00E9220A" w:rsidRPr="00FA4313" w:rsidRDefault="00E9220A" w:rsidP="00FA4313">
            <w:pPr>
              <w:jc w:val="both"/>
              <w:rPr>
                <w:rFonts w:ascii="Times New Roman" w:hAnsi="Times New Roman" w:cs="Times New Roman"/>
                <w:sz w:val="24"/>
                <w:szCs w:val="24"/>
              </w:rPr>
            </w:pPr>
          </w:p>
        </w:tc>
      </w:tr>
      <w:tr w:rsidR="00E9220A" w:rsidRPr="00FA4313" w14:paraId="70A68DD0" w14:textId="77777777">
        <w:trPr>
          <w:trHeight w:val="290"/>
        </w:trPr>
        <w:tc>
          <w:tcPr>
            <w:tcW w:w="2538" w:type="dxa"/>
          </w:tcPr>
          <w:p w14:paraId="447EE63F"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i/>
                <w:sz w:val="24"/>
                <w:szCs w:val="24"/>
              </w:rPr>
              <w:t xml:space="preserve">    </w:t>
            </w:r>
            <w:r w:rsidR="00A656F0" w:rsidRPr="00FA4313">
              <w:rPr>
                <w:rFonts w:ascii="Times New Roman" w:hAnsi="Times New Roman" w:cs="Times New Roman"/>
                <w:i/>
                <w:sz w:val="24"/>
                <w:szCs w:val="24"/>
              </w:rPr>
              <w:t>Less:</w:t>
            </w:r>
            <w:r w:rsidR="00A656F0" w:rsidRPr="00FA4313">
              <w:rPr>
                <w:rFonts w:ascii="Times New Roman" w:hAnsi="Times New Roman" w:cs="Times New Roman"/>
                <w:sz w:val="24"/>
                <w:szCs w:val="24"/>
              </w:rPr>
              <w:t xml:space="preserve"> Depreciation</w:t>
            </w:r>
          </w:p>
        </w:tc>
        <w:tc>
          <w:tcPr>
            <w:tcW w:w="1206" w:type="dxa"/>
          </w:tcPr>
          <w:p w14:paraId="5353E84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55040E5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17A7122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7F70F16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2AEA114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r>
      <w:tr w:rsidR="00E9220A" w:rsidRPr="00FA4313" w14:paraId="0CA3BF6F" w14:textId="77777777">
        <w:trPr>
          <w:trHeight w:val="290"/>
        </w:trPr>
        <w:tc>
          <w:tcPr>
            <w:tcW w:w="2538" w:type="dxa"/>
          </w:tcPr>
          <w:p w14:paraId="409B5268"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i/>
                <w:sz w:val="24"/>
                <w:szCs w:val="24"/>
              </w:rPr>
              <w:t xml:space="preserve">    Plus</w:t>
            </w:r>
            <w:r w:rsidR="00A656F0" w:rsidRPr="00FA4313">
              <w:rPr>
                <w:rFonts w:ascii="Times New Roman" w:hAnsi="Times New Roman" w:cs="Times New Roman"/>
                <w:i/>
                <w:sz w:val="24"/>
                <w:szCs w:val="24"/>
              </w:rPr>
              <w:t>:</w:t>
            </w:r>
            <w:r w:rsidR="00A656F0" w:rsidRPr="00FA4313">
              <w:rPr>
                <w:rFonts w:ascii="Times New Roman" w:hAnsi="Times New Roman" w:cs="Times New Roman"/>
                <w:sz w:val="24"/>
                <w:szCs w:val="24"/>
              </w:rPr>
              <w:t xml:space="preserve"> CAPEX Latest Estimate</w:t>
            </w:r>
          </w:p>
        </w:tc>
        <w:tc>
          <w:tcPr>
            <w:tcW w:w="1206" w:type="dxa"/>
          </w:tcPr>
          <w:p w14:paraId="21B544B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2 454</w:t>
            </w:r>
          </w:p>
        </w:tc>
        <w:tc>
          <w:tcPr>
            <w:tcW w:w="1318" w:type="dxa"/>
          </w:tcPr>
          <w:p w14:paraId="4219C74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2 454</w:t>
            </w:r>
          </w:p>
        </w:tc>
        <w:tc>
          <w:tcPr>
            <w:tcW w:w="1318" w:type="dxa"/>
          </w:tcPr>
          <w:p w14:paraId="71FF658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2 454</w:t>
            </w:r>
          </w:p>
        </w:tc>
        <w:tc>
          <w:tcPr>
            <w:tcW w:w="1318" w:type="dxa"/>
          </w:tcPr>
          <w:p w14:paraId="6DE6F1B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2 454</w:t>
            </w:r>
          </w:p>
        </w:tc>
        <w:tc>
          <w:tcPr>
            <w:tcW w:w="1318" w:type="dxa"/>
          </w:tcPr>
          <w:p w14:paraId="4FD3D51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2 454</w:t>
            </w:r>
          </w:p>
        </w:tc>
      </w:tr>
      <w:tr w:rsidR="00E9220A" w:rsidRPr="00FA4313" w14:paraId="3582C907" w14:textId="77777777">
        <w:trPr>
          <w:trHeight w:val="290"/>
        </w:trPr>
        <w:tc>
          <w:tcPr>
            <w:tcW w:w="2538" w:type="dxa"/>
          </w:tcPr>
          <w:p w14:paraId="00F3CF82"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Closing Net Book Value (31 March)</w:t>
            </w:r>
          </w:p>
        </w:tc>
        <w:tc>
          <w:tcPr>
            <w:tcW w:w="1206" w:type="dxa"/>
          </w:tcPr>
          <w:p w14:paraId="246C5AF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81 792</w:t>
            </w:r>
          </w:p>
        </w:tc>
        <w:tc>
          <w:tcPr>
            <w:tcW w:w="1318" w:type="dxa"/>
          </w:tcPr>
          <w:p w14:paraId="6BEA53B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81 792</w:t>
            </w:r>
          </w:p>
        </w:tc>
        <w:tc>
          <w:tcPr>
            <w:tcW w:w="1318" w:type="dxa"/>
          </w:tcPr>
          <w:p w14:paraId="1799F88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81 792</w:t>
            </w:r>
          </w:p>
        </w:tc>
        <w:tc>
          <w:tcPr>
            <w:tcW w:w="1318" w:type="dxa"/>
          </w:tcPr>
          <w:p w14:paraId="08E0CE2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81 792</w:t>
            </w:r>
          </w:p>
        </w:tc>
        <w:tc>
          <w:tcPr>
            <w:tcW w:w="1318" w:type="dxa"/>
          </w:tcPr>
          <w:p w14:paraId="3350957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81 792</w:t>
            </w:r>
          </w:p>
        </w:tc>
      </w:tr>
      <w:tr w:rsidR="00EE5B92" w:rsidRPr="00FA4313" w14:paraId="7DC0257A" w14:textId="77777777">
        <w:trPr>
          <w:trHeight w:val="290"/>
        </w:trPr>
        <w:tc>
          <w:tcPr>
            <w:tcW w:w="2538" w:type="dxa"/>
          </w:tcPr>
          <w:p w14:paraId="7566E05D" w14:textId="77777777" w:rsidR="00EE5B92" w:rsidRPr="00FA4313" w:rsidRDefault="00EE5B92" w:rsidP="00FA4313">
            <w:pPr>
              <w:rPr>
                <w:rFonts w:ascii="Times New Roman" w:hAnsi="Times New Roman" w:cs="Times New Roman"/>
                <w:sz w:val="24"/>
                <w:szCs w:val="24"/>
              </w:rPr>
            </w:pPr>
          </w:p>
        </w:tc>
        <w:tc>
          <w:tcPr>
            <w:tcW w:w="1206" w:type="dxa"/>
          </w:tcPr>
          <w:p w14:paraId="06BA534A" w14:textId="77777777" w:rsidR="00EE5B92" w:rsidRPr="00FA4313" w:rsidRDefault="00EE5B92" w:rsidP="00FA4313">
            <w:pPr>
              <w:jc w:val="both"/>
              <w:rPr>
                <w:rFonts w:ascii="Times New Roman" w:hAnsi="Times New Roman" w:cs="Times New Roman"/>
                <w:sz w:val="24"/>
                <w:szCs w:val="24"/>
              </w:rPr>
            </w:pPr>
          </w:p>
        </w:tc>
        <w:tc>
          <w:tcPr>
            <w:tcW w:w="1318" w:type="dxa"/>
          </w:tcPr>
          <w:p w14:paraId="3519E8F8" w14:textId="77777777" w:rsidR="00EE5B92" w:rsidRPr="00FA4313" w:rsidRDefault="00EE5B92" w:rsidP="00FA4313">
            <w:pPr>
              <w:jc w:val="both"/>
              <w:rPr>
                <w:rFonts w:ascii="Times New Roman" w:hAnsi="Times New Roman" w:cs="Times New Roman"/>
                <w:sz w:val="24"/>
                <w:szCs w:val="24"/>
              </w:rPr>
            </w:pPr>
          </w:p>
        </w:tc>
        <w:tc>
          <w:tcPr>
            <w:tcW w:w="1318" w:type="dxa"/>
          </w:tcPr>
          <w:p w14:paraId="3E0B3694" w14:textId="77777777" w:rsidR="00EE5B92" w:rsidRPr="00FA4313" w:rsidRDefault="00EE5B92" w:rsidP="00FA4313">
            <w:pPr>
              <w:jc w:val="both"/>
              <w:rPr>
                <w:rFonts w:ascii="Times New Roman" w:hAnsi="Times New Roman" w:cs="Times New Roman"/>
                <w:sz w:val="24"/>
                <w:szCs w:val="24"/>
              </w:rPr>
            </w:pPr>
          </w:p>
        </w:tc>
        <w:tc>
          <w:tcPr>
            <w:tcW w:w="1318" w:type="dxa"/>
          </w:tcPr>
          <w:p w14:paraId="4F39A65A" w14:textId="77777777" w:rsidR="00EE5B92" w:rsidRPr="00FA4313" w:rsidRDefault="00EE5B92" w:rsidP="00FA4313">
            <w:pPr>
              <w:jc w:val="both"/>
              <w:rPr>
                <w:rFonts w:ascii="Times New Roman" w:hAnsi="Times New Roman" w:cs="Times New Roman"/>
                <w:sz w:val="24"/>
                <w:szCs w:val="24"/>
              </w:rPr>
            </w:pPr>
          </w:p>
        </w:tc>
        <w:tc>
          <w:tcPr>
            <w:tcW w:w="1318" w:type="dxa"/>
          </w:tcPr>
          <w:p w14:paraId="71AFBBAF" w14:textId="77777777" w:rsidR="00EE5B92" w:rsidRPr="00FA4313" w:rsidRDefault="00EE5B92" w:rsidP="00FA4313">
            <w:pPr>
              <w:jc w:val="both"/>
              <w:rPr>
                <w:rFonts w:ascii="Times New Roman" w:hAnsi="Times New Roman" w:cs="Times New Roman"/>
                <w:sz w:val="24"/>
                <w:szCs w:val="24"/>
              </w:rPr>
            </w:pPr>
          </w:p>
        </w:tc>
      </w:tr>
      <w:tr w:rsidR="00E9220A" w:rsidRPr="00FA4313" w14:paraId="1692392D" w14:textId="77777777">
        <w:trPr>
          <w:trHeight w:val="290"/>
        </w:trPr>
        <w:tc>
          <w:tcPr>
            <w:tcW w:w="2538" w:type="dxa"/>
          </w:tcPr>
          <w:p w14:paraId="4F6AB1BB"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Average Asset Base</w:t>
            </w:r>
          </w:p>
        </w:tc>
        <w:tc>
          <w:tcPr>
            <w:tcW w:w="1206" w:type="dxa"/>
          </w:tcPr>
          <w:p w14:paraId="4B3128E0"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80 120</w:t>
            </w:r>
          </w:p>
        </w:tc>
        <w:tc>
          <w:tcPr>
            <w:tcW w:w="1318" w:type="dxa"/>
          </w:tcPr>
          <w:p w14:paraId="37FA005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80 120</w:t>
            </w:r>
          </w:p>
        </w:tc>
        <w:tc>
          <w:tcPr>
            <w:tcW w:w="1318" w:type="dxa"/>
          </w:tcPr>
          <w:p w14:paraId="0CEB600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80 120</w:t>
            </w:r>
          </w:p>
        </w:tc>
        <w:tc>
          <w:tcPr>
            <w:tcW w:w="1318" w:type="dxa"/>
          </w:tcPr>
          <w:p w14:paraId="3CCF80E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65 620</w:t>
            </w:r>
          </w:p>
        </w:tc>
        <w:tc>
          <w:tcPr>
            <w:tcW w:w="1318" w:type="dxa"/>
          </w:tcPr>
          <w:p w14:paraId="7F91C72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65 620</w:t>
            </w:r>
          </w:p>
        </w:tc>
      </w:tr>
      <w:tr w:rsidR="00E9220A" w:rsidRPr="00FA4313" w14:paraId="2E3A3766" w14:textId="77777777">
        <w:trPr>
          <w:trHeight w:val="290"/>
        </w:trPr>
        <w:tc>
          <w:tcPr>
            <w:tcW w:w="2538" w:type="dxa"/>
          </w:tcPr>
          <w:p w14:paraId="02A83FB4"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i/>
                <w:sz w:val="24"/>
                <w:szCs w:val="24"/>
              </w:rPr>
              <w:t xml:space="preserve">   </w:t>
            </w:r>
            <w:r w:rsidR="00A656F0" w:rsidRPr="00FA4313">
              <w:rPr>
                <w:rFonts w:ascii="Times New Roman" w:hAnsi="Times New Roman" w:cs="Times New Roman"/>
                <w:i/>
                <w:sz w:val="24"/>
                <w:szCs w:val="24"/>
              </w:rPr>
              <w:t>Less</w:t>
            </w:r>
            <w:r w:rsidRPr="00FA4313">
              <w:rPr>
                <w:rFonts w:ascii="Times New Roman" w:hAnsi="Times New Roman" w:cs="Times New Roman"/>
                <w:i/>
                <w:sz w:val="24"/>
                <w:szCs w:val="24"/>
              </w:rPr>
              <w:t>:</w:t>
            </w:r>
            <w:r w:rsidR="00A656F0" w:rsidRPr="00FA4313">
              <w:rPr>
                <w:rFonts w:ascii="Times New Roman" w:hAnsi="Times New Roman" w:cs="Times New Roman"/>
                <w:sz w:val="24"/>
                <w:szCs w:val="24"/>
              </w:rPr>
              <w:t xml:space="preserve"> Working Capital</w:t>
            </w:r>
          </w:p>
        </w:tc>
        <w:tc>
          <w:tcPr>
            <w:tcW w:w="1206" w:type="dxa"/>
          </w:tcPr>
          <w:p w14:paraId="0BA0936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-738</w:t>
            </w:r>
          </w:p>
        </w:tc>
        <w:tc>
          <w:tcPr>
            <w:tcW w:w="1318" w:type="dxa"/>
          </w:tcPr>
          <w:p w14:paraId="2A43233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-738</w:t>
            </w:r>
          </w:p>
        </w:tc>
        <w:tc>
          <w:tcPr>
            <w:tcW w:w="1318" w:type="dxa"/>
          </w:tcPr>
          <w:p w14:paraId="6CABF00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-738</w:t>
            </w:r>
          </w:p>
        </w:tc>
        <w:tc>
          <w:tcPr>
            <w:tcW w:w="1318" w:type="dxa"/>
          </w:tcPr>
          <w:p w14:paraId="1B2450C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-738</w:t>
            </w:r>
          </w:p>
        </w:tc>
        <w:tc>
          <w:tcPr>
            <w:tcW w:w="1318" w:type="dxa"/>
          </w:tcPr>
          <w:p w14:paraId="5B3C2A9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-738</w:t>
            </w:r>
          </w:p>
        </w:tc>
      </w:tr>
      <w:tr w:rsidR="00E9220A" w:rsidRPr="00FA4313" w14:paraId="055A3803" w14:textId="77777777">
        <w:trPr>
          <w:trHeight w:val="290"/>
        </w:trPr>
        <w:tc>
          <w:tcPr>
            <w:tcW w:w="2538" w:type="dxa"/>
          </w:tcPr>
          <w:p w14:paraId="0A6C1069"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Regulatory Asset Base</w:t>
            </w:r>
          </w:p>
        </w:tc>
        <w:tc>
          <w:tcPr>
            <w:tcW w:w="1206" w:type="dxa"/>
          </w:tcPr>
          <w:p w14:paraId="6EBE432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79 382</w:t>
            </w:r>
          </w:p>
        </w:tc>
        <w:tc>
          <w:tcPr>
            <w:tcW w:w="1318" w:type="dxa"/>
          </w:tcPr>
          <w:p w14:paraId="1422A25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79 382</w:t>
            </w:r>
          </w:p>
        </w:tc>
        <w:tc>
          <w:tcPr>
            <w:tcW w:w="1318" w:type="dxa"/>
          </w:tcPr>
          <w:p w14:paraId="0FBB54A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79 382</w:t>
            </w:r>
          </w:p>
        </w:tc>
        <w:tc>
          <w:tcPr>
            <w:tcW w:w="1318" w:type="dxa"/>
          </w:tcPr>
          <w:p w14:paraId="20AB4B1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64 882</w:t>
            </w:r>
          </w:p>
        </w:tc>
        <w:tc>
          <w:tcPr>
            <w:tcW w:w="1318" w:type="dxa"/>
          </w:tcPr>
          <w:p w14:paraId="666D2CB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64 882</w:t>
            </w:r>
          </w:p>
        </w:tc>
      </w:tr>
      <w:tr w:rsidR="00E9220A" w:rsidRPr="00FA4313" w14:paraId="00176CF5" w14:textId="77777777">
        <w:trPr>
          <w:trHeight w:val="290"/>
        </w:trPr>
        <w:tc>
          <w:tcPr>
            <w:tcW w:w="2538" w:type="dxa"/>
          </w:tcPr>
          <w:p w14:paraId="71238D66" w14:textId="77777777" w:rsidR="00E9220A" w:rsidRPr="00FA4313" w:rsidRDefault="00E9220A" w:rsidP="00FA4313">
            <w:pPr>
              <w:rPr>
                <w:rFonts w:ascii="Times New Roman" w:hAnsi="Times New Roman" w:cs="Times New Roman"/>
                <w:sz w:val="24"/>
                <w:szCs w:val="24"/>
              </w:rPr>
            </w:pPr>
          </w:p>
        </w:tc>
        <w:tc>
          <w:tcPr>
            <w:tcW w:w="1206" w:type="dxa"/>
          </w:tcPr>
          <w:p w14:paraId="7BF478BD" w14:textId="77777777" w:rsidR="00E9220A" w:rsidRPr="00FA4313" w:rsidRDefault="00E9220A" w:rsidP="00FA4313">
            <w:pPr>
              <w:jc w:val="both"/>
              <w:rPr>
                <w:rFonts w:ascii="Times New Roman" w:hAnsi="Times New Roman" w:cs="Times New Roman"/>
                <w:sz w:val="24"/>
                <w:szCs w:val="24"/>
              </w:rPr>
            </w:pPr>
          </w:p>
        </w:tc>
        <w:tc>
          <w:tcPr>
            <w:tcW w:w="1318" w:type="dxa"/>
          </w:tcPr>
          <w:p w14:paraId="6CC8E012" w14:textId="77777777" w:rsidR="00E9220A" w:rsidRPr="00FA4313" w:rsidRDefault="00E9220A" w:rsidP="00FA4313">
            <w:pPr>
              <w:jc w:val="both"/>
              <w:rPr>
                <w:rFonts w:ascii="Times New Roman" w:hAnsi="Times New Roman" w:cs="Times New Roman"/>
                <w:sz w:val="24"/>
                <w:szCs w:val="24"/>
              </w:rPr>
            </w:pPr>
          </w:p>
        </w:tc>
        <w:tc>
          <w:tcPr>
            <w:tcW w:w="1318" w:type="dxa"/>
          </w:tcPr>
          <w:p w14:paraId="714904A7" w14:textId="77777777" w:rsidR="00E9220A" w:rsidRPr="00FA4313" w:rsidRDefault="00E9220A" w:rsidP="00FA4313">
            <w:pPr>
              <w:jc w:val="both"/>
              <w:rPr>
                <w:rFonts w:ascii="Times New Roman" w:hAnsi="Times New Roman" w:cs="Times New Roman"/>
                <w:sz w:val="24"/>
                <w:szCs w:val="24"/>
              </w:rPr>
            </w:pPr>
          </w:p>
        </w:tc>
        <w:tc>
          <w:tcPr>
            <w:tcW w:w="1318" w:type="dxa"/>
          </w:tcPr>
          <w:p w14:paraId="19446D16" w14:textId="77777777" w:rsidR="00E9220A" w:rsidRPr="00FA4313" w:rsidRDefault="00E9220A" w:rsidP="00FA4313">
            <w:pPr>
              <w:jc w:val="both"/>
              <w:rPr>
                <w:rFonts w:ascii="Times New Roman" w:hAnsi="Times New Roman" w:cs="Times New Roman"/>
                <w:sz w:val="24"/>
                <w:szCs w:val="24"/>
              </w:rPr>
            </w:pPr>
          </w:p>
        </w:tc>
        <w:tc>
          <w:tcPr>
            <w:tcW w:w="1318" w:type="dxa"/>
          </w:tcPr>
          <w:p w14:paraId="7119A68D" w14:textId="77777777" w:rsidR="00E9220A" w:rsidRPr="00FA4313" w:rsidRDefault="00E9220A" w:rsidP="00FA4313">
            <w:pPr>
              <w:jc w:val="both"/>
              <w:rPr>
                <w:rFonts w:ascii="Times New Roman" w:hAnsi="Times New Roman" w:cs="Times New Roman"/>
                <w:sz w:val="24"/>
                <w:szCs w:val="24"/>
              </w:rPr>
            </w:pPr>
          </w:p>
        </w:tc>
      </w:tr>
      <w:tr w:rsidR="00E9220A" w:rsidRPr="00FA4313" w14:paraId="423C475A" w14:textId="77777777">
        <w:trPr>
          <w:trHeight w:val="290"/>
        </w:trPr>
        <w:tc>
          <w:tcPr>
            <w:tcW w:w="2538" w:type="dxa"/>
          </w:tcPr>
          <w:p w14:paraId="1DBB9EB1"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Inflation Forecast</w:t>
            </w:r>
          </w:p>
        </w:tc>
        <w:tc>
          <w:tcPr>
            <w:tcW w:w="1206" w:type="dxa"/>
          </w:tcPr>
          <w:p w14:paraId="41C39BC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4,35%</w:t>
            </w:r>
          </w:p>
        </w:tc>
        <w:tc>
          <w:tcPr>
            <w:tcW w:w="1318" w:type="dxa"/>
          </w:tcPr>
          <w:p w14:paraId="083D1B7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4,35%</w:t>
            </w:r>
          </w:p>
        </w:tc>
        <w:tc>
          <w:tcPr>
            <w:tcW w:w="1318" w:type="dxa"/>
          </w:tcPr>
          <w:p w14:paraId="2B53276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4,35%</w:t>
            </w:r>
          </w:p>
        </w:tc>
        <w:tc>
          <w:tcPr>
            <w:tcW w:w="1318" w:type="dxa"/>
          </w:tcPr>
          <w:p w14:paraId="301A7FD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4,35%</w:t>
            </w:r>
          </w:p>
        </w:tc>
        <w:tc>
          <w:tcPr>
            <w:tcW w:w="1318" w:type="dxa"/>
          </w:tcPr>
          <w:p w14:paraId="03A73F8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4,35%</w:t>
            </w:r>
          </w:p>
        </w:tc>
      </w:tr>
      <w:tr w:rsidR="00E9220A" w:rsidRPr="00FA4313" w14:paraId="702BD21C" w14:textId="77777777">
        <w:trPr>
          <w:trHeight w:val="290"/>
        </w:trPr>
        <w:tc>
          <w:tcPr>
            <w:tcW w:w="2538" w:type="dxa"/>
          </w:tcPr>
          <w:p w14:paraId="1D8A1B78"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Nominal Risk-Free Rate</w:t>
            </w:r>
          </w:p>
        </w:tc>
        <w:tc>
          <w:tcPr>
            <w:tcW w:w="1206" w:type="dxa"/>
          </w:tcPr>
          <w:p w14:paraId="564C80E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9,33%</w:t>
            </w:r>
          </w:p>
        </w:tc>
        <w:tc>
          <w:tcPr>
            <w:tcW w:w="1318" w:type="dxa"/>
          </w:tcPr>
          <w:p w14:paraId="4FFA854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9,33%</w:t>
            </w:r>
          </w:p>
        </w:tc>
        <w:tc>
          <w:tcPr>
            <w:tcW w:w="1318" w:type="dxa"/>
          </w:tcPr>
          <w:p w14:paraId="58D88AD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9,33%</w:t>
            </w:r>
          </w:p>
        </w:tc>
        <w:tc>
          <w:tcPr>
            <w:tcW w:w="1318" w:type="dxa"/>
          </w:tcPr>
          <w:p w14:paraId="0653A9A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9,33%</w:t>
            </w:r>
          </w:p>
        </w:tc>
        <w:tc>
          <w:tcPr>
            <w:tcW w:w="1318" w:type="dxa"/>
          </w:tcPr>
          <w:p w14:paraId="52A0716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9,33%</w:t>
            </w:r>
          </w:p>
        </w:tc>
      </w:tr>
      <w:tr w:rsidR="00E9220A" w:rsidRPr="00FA4313" w14:paraId="14BA73B2" w14:textId="77777777">
        <w:trPr>
          <w:trHeight w:val="290"/>
        </w:trPr>
        <w:tc>
          <w:tcPr>
            <w:tcW w:w="2538" w:type="dxa"/>
          </w:tcPr>
          <w:p w14:paraId="5C287DDF"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Real Risk-Free Rate</w:t>
            </w:r>
          </w:p>
        </w:tc>
        <w:tc>
          <w:tcPr>
            <w:tcW w:w="1206" w:type="dxa"/>
          </w:tcPr>
          <w:p w14:paraId="1871BE0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c>
          <w:tcPr>
            <w:tcW w:w="1318" w:type="dxa"/>
          </w:tcPr>
          <w:p w14:paraId="5E9439E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c>
          <w:tcPr>
            <w:tcW w:w="1318" w:type="dxa"/>
          </w:tcPr>
          <w:p w14:paraId="777F576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c>
          <w:tcPr>
            <w:tcW w:w="1318" w:type="dxa"/>
          </w:tcPr>
          <w:p w14:paraId="6B499CA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c>
          <w:tcPr>
            <w:tcW w:w="1318" w:type="dxa"/>
          </w:tcPr>
          <w:p w14:paraId="020BAB6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r>
      <w:tr w:rsidR="00E9220A" w:rsidRPr="00FA4313" w14:paraId="60419016" w14:textId="77777777">
        <w:trPr>
          <w:trHeight w:val="290"/>
        </w:trPr>
        <w:tc>
          <w:tcPr>
            <w:tcW w:w="2538" w:type="dxa"/>
          </w:tcPr>
          <w:p w14:paraId="4FF523C5"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Market Risk Premium</w:t>
            </w:r>
          </w:p>
        </w:tc>
        <w:tc>
          <w:tcPr>
            <w:tcW w:w="1206" w:type="dxa"/>
          </w:tcPr>
          <w:p w14:paraId="0A6A1E9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5,10%</w:t>
            </w:r>
          </w:p>
        </w:tc>
        <w:tc>
          <w:tcPr>
            <w:tcW w:w="1318" w:type="dxa"/>
          </w:tcPr>
          <w:p w14:paraId="2423B75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5,10%</w:t>
            </w:r>
          </w:p>
        </w:tc>
        <w:tc>
          <w:tcPr>
            <w:tcW w:w="1318" w:type="dxa"/>
          </w:tcPr>
          <w:p w14:paraId="093E029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5,10%</w:t>
            </w:r>
          </w:p>
        </w:tc>
        <w:tc>
          <w:tcPr>
            <w:tcW w:w="1318" w:type="dxa"/>
          </w:tcPr>
          <w:p w14:paraId="2AF711B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5,10%</w:t>
            </w:r>
          </w:p>
        </w:tc>
        <w:tc>
          <w:tcPr>
            <w:tcW w:w="1318" w:type="dxa"/>
          </w:tcPr>
          <w:p w14:paraId="637024D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5,10%</w:t>
            </w:r>
          </w:p>
        </w:tc>
      </w:tr>
      <w:tr w:rsidR="00E9220A" w:rsidRPr="00FA4313" w14:paraId="79A1C1CA" w14:textId="77777777">
        <w:trPr>
          <w:trHeight w:val="290"/>
        </w:trPr>
        <w:tc>
          <w:tcPr>
            <w:tcW w:w="2538" w:type="dxa"/>
          </w:tcPr>
          <w:p w14:paraId="4E41893D"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Asset Beta</w:t>
            </w:r>
          </w:p>
        </w:tc>
        <w:tc>
          <w:tcPr>
            <w:tcW w:w="1206" w:type="dxa"/>
          </w:tcPr>
          <w:p w14:paraId="433ABC8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0,35</w:t>
            </w:r>
          </w:p>
        </w:tc>
        <w:tc>
          <w:tcPr>
            <w:tcW w:w="1318" w:type="dxa"/>
          </w:tcPr>
          <w:p w14:paraId="3F6073C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0,35</w:t>
            </w:r>
          </w:p>
        </w:tc>
        <w:tc>
          <w:tcPr>
            <w:tcW w:w="1318" w:type="dxa"/>
          </w:tcPr>
          <w:p w14:paraId="7247154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0,35</w:t>
            </w:r>
          </w:p>
        </w:tc>
        <w:tc>
          <w:tcPr>
            <w:tcW w:w="1318" w:type="dxa"/>
          </w:tcPr>
          <w:p w14:paraId="2C08192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c>
          <w:tcPr>
            <w:tcW w:w="1318" w:type="dxa"/>
          </w:tcPr>
          <w:p w14:paraId="4DBA281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r>
      <w:tr w:rsidR="00E9220A" w:rsidRPr="00FA4313" w14:paraId="0A778357" w14:textId="77777777">
        <w:trPr>
          <w:trHeight w:val="290"/>
        </w:trPr>
        <w:tc>
          <w:tcPr>
            <w:tcW w:w="2538" w:type="dxa"/>
          </w:tcPr>
          <w:p w14:paraId="4D9459BE"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Equity Beta (using Hamada)</w:t>
            </w:r>
          </w:p>
        </w:tc>
        <w:tc>
          <w:tcPr>
            <w:tcW w:w="1206" w:type="dxa"/>
          </w:tcPr>
          <w:p w14:paraId="4F43B580"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0,60</w:t>
            </w:r>
          </w:p>
        </w:tc>
        <w:tc>
          <w:tcPr>
            <w:tcW w:w="1318" w:type="dxa"/>
          </w:tcPr>
          <w:p w14:paraId="7396C36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0,65</w:t>
            </w:r>
          </w:p>
        </w:tc>
        <w:tc>
          <w:tcPr>
            <w:tcW w:w="1318" w:type="dxa"/>
          </w:tcPr>
          <w:p w14:paraId="79D3CA7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0,65</w:t>
            </w:r>
          </w:p>
        </w:tc>
        <w:tc>
          <w:tcPr>
            <w:tcW w:w="1318" w:type="dxa"/>
          </w:tcPr>
          <w:p w14:paraId="4D0C2FE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c>
          <w:tcPr>
            <w:tcW w:w="1318" w:type="dxa"/>
          </w:tcPr>
          <w:p w14:paraId="6796423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r>
      <w:tr w:rsidR="00E9220A" w:rsidRPr="00FA4313" w14:paraId="38451C56" w14:textId="77777777">
        <w:trPr>
          <w:trHeight w:val="290"/>
        </w:trPr>
        <w:tc>
          <w:tcPr>
            <w:tcW w:w="2538" w:type="dxa"/>
          </w:tcPr>
          <w:p w14:paraId="25F65309"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Debt Beta</w:t>
            </w:r>
          </w:p>
        </w:tc>
        <w:tc>
          <w:tcPr>
            <w:tcW w:w="1206" w:type="dxa"/>
          </w:tcPr>
          <w:p w14:paraId="75DC3D1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c>
          <w:tcPr>
            <w:tcW w:w="1318" w:type="dxa"/>
          </w:tcPr>
          <w:p w14:paraId="1D2147E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c>
          <w:tcPr>
            <w:tcW w:w="1318" w:type="dxa"/>
          </w:tcPr>
          <w:p w14:paraId="20CFE540"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c>
          <w:tcPr>
            <w:tcW w:w="1318" w:type="dxa"/>
          </w:tcPr>
          <w:p w14:paraId="629A7F8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c>
          <w:tcPr>
            <w:tcW w:w="1318" w:type="dxa"/>
          </w:tcPr>
          <w:p w14:paraId="5C1BF9A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0,00</w:t>
            </w:r>
          </w:p>
        </w:tc>
      </w:tr>
      <w:tr w:rsidR="00E9220A" w:rsidRPr="00FA4313" w14:paraId="384AEABE" w14:textId="77777777">
        <w:trPr>
          <w:trHeight w:val="290"/>
        </w:trPr>
        <w:tc>
          <w:tcPr>
            <w:tcW w:w="2538" w:type="dxa"/>
          </w:tcPr>
          <w:p w14:paraId="4E5CF093"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Gearing</w:t>
            </w:r>
          </w:p>
        </w:tc>
        <w:tc>
          <w:tcPr>
            <w:tcW w:w="1206" w:type="dxa"/>
          </w:tcPr>
          <w:p w14:paraId="5E860F5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0,50</w:t>
            </w:r>
          </w:p>
        </w:tc>
        <w:tc>
          <w:tcPr>
            <w:tcW w:w="1318" w:type="dxa"/>
          </w:tcPr>
          <w:p w14:paraId="58086C6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0,50</w:t>
            </w:r>
          </w:p>
        </w:tc>
        <w:tc>
          <w:tcPr>
            <w:tcW w:w="1318" w:type="dxa"/>
          </w:tcPr>
          <w:p w14:paraId="5634854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0,50</w:t>
            </w:r>
          </w:p>
        </w:tc>
        <w:tc>
          <w:tcPr>
            <w:tcW w:w="1318" w:type="dxa"/>
          </w:tcPr>
          <w:p w14:paraId="37EA2CB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0,50</w:t>
            </w:r>
          </w:p>
        </w:tc>
        <w:tc>
          <w:tcPr>
            <w:tcW w:w="1318" w:type="dxa"/>
          </w:tcPr>
          <w:p w14:paraId="2DC34C1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0,50</w:t>
            </w:r>
          </w:p>
        </w:tc>
      </w:tr>
      <w:tr w:rsidR="00E9220A" w:rsidRPr="00FA4313" w14:paraId="28D19EE5" w14:textId="77777777">
        <w:trPr>
          <w:trHeight w:val="290"/>
        </w:trPr>
        <w:tc>
          <w:tcPr>
            <w:tcW w:w="2538" w:type="dxa"/>
          </w:tcPr>
          <w:p w14:paraId="2D1C5371"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Debt/Equity ratio</w:t>
            </w:r>
          </w:p>
        </w:tc>
        <w:tc>
          <w:tcPr>
            <w:tcW w:w="1206" w:type="dxa"/>
          </w:tcPr>
          <w:p w14:paraId="32B9D66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100,00%</w:t>
            </w:r>
          </w:p>
        </w:tc>
        <w:tc>
          <w:tcPr>
            <w:tcW w:w="1318" w:type="dxa"/>
          </w:tcPr>
          <w:p w14:paraId="1E637B7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100,00%</w:t>
            </w:r>
          </w:p>
        </w:tc>
        <w:tc>
          <w:tcPr>
            <w:tcW w:w="1318" w:type="dxa"/>
          </w:tcPr>
          <w:p w14:paraId="69849810"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100,00%</w:t>
            </w:r>
          </w:p>
        </w:tc>
        <w:tc>
          <w:tcPr>
            <w:tcW w:w="1318" w:type="dxa"/>
          </w:tcPr>
          <w:p w14:paraId="1ECA861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100,00%</w:t>
            </w:r>
          </w:p>
        </w:tc>
        <w:tc>
          <w:tcPr>
            <w:tcW w:w="1318" w:type="dxa"/>
          </w:tcPr>
          <w:p w14:paraId="5A87DA6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100,00%</w:t>
            </w:r>
          </w:p>
        </w:tc>
      </w:tr>
      <w:tr w:rsidR="00E9220A" w:rsidRPr="00FA4313" w14:paraId="072810FA" w14:textId="77777777">
        <w:trPr>
          <w:trHeight w:val="290"/>
        </w:trPr>
        <w:tc>
          <w:tcPr>
            <w:tcW w:w="2538" w:type="dxa"/>
          </w:tcPr>
          <w:p w14:paraId="0CC98100"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Nominal Weighted Average Cost of Debt (WACD)</w:t>
            </w:r>
          </w:p>
        </w:tc>
        <w:tc>
          <w:tcPr>
            <w:tcW w:w="1206" w:type="dxa"/>
          </w:tcPr>
          <w:p w14:paraId="29668D4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10,75%</w:t>
            </w:r>
          </w:p>
        </w:tc>
        <w:tc>
          <w:tcPr>
            <w:tcW w:w="1318" w:type="dxa"/>
          </w:tcPr>
          <w:p w14:paraId="5E45CF8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10,75%</w:t>
            </w:r>
          </w:p>
        </w:tc>
        <w:tc>
          <w:tcPr>
            <w:tcW w:w="1318" w:type="dxa"/>
          </w:tcPr>
          <w:p w14:paraId="3738455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10,75%</w:t>
            </w:r>
          </w:p>
        </w:tc>
        <w:tc>
          <w:tcPr>
            <w:tcW w:w="1318" w:type="dxa"/>
          </w:tcPr>
          <w:p w14:paraId="04C9E54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10,75%</w:t>
            </w:r>
          </w:p>
        </w:tc>
        <w:tc>
          <w:tcPr>
            <w:tcW w:w="1318" w:type="dxa"/>
          </w:tcPr>
          <w:p w14:paraId="506D2B6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10,75%</w:t>
            </w:r>
          </w:p>
        </w:tc>
      </w:tr>
      <w:tr w:rsidR="00E9220A" w:rsidRPr="00FA4313" w14:paraId="3F4E400D" w14:textId="77777777">
        <w:trPr>
          <w:trHeight w:val="290"/>
        </w:trPr>
        <w:tc>
          <w:tcPr>
            <w:tcW w:w="2538" w:type="dxa"/>
          </w:tcPr>
          <w:p w14:paraId="271FFD85"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(Equitable) Tax Rate</w:t>
            </w:r>
          </w:p>
        </w:tc>
        <w:tc>
          <w:tcPr>
            <w:tcW w:w="1206" w:type="dxa"/>
          </w:tcPr>
          <w:p w14:paraId="114DA1B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28,00%</w:t>
            </w:r>
          </w:p>
        </w:tc>
        <w:tc>
          <w:tcPr>
            <w:tcW w:w="1318" w:type="dxa"/>
          </w:tcPr>
          <w:p w14:paraId="6A41F7D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15,50%</w:t>
            </w:r>
          </w:p>
        </w:tc>
        <w:tc>
          <w:tcPr>
            <w:tcW w:w="1318" w:type="dxa"/>
          </w:tcPr>
          <w:p w14:paraId="7FCDF7CD" w14:textId="77777777" w:rsidR="00E9220A" w:rsidRPr="00FA4313" w:rsidRDefault="00A656F0" w:rsidP="00FA4313">
            <w:pPr>
              <w:jc w:val="both"/>
              <w:rPr>
                <w:rFonts w:ascii="Times New Roman" w:hAnsi="Times New Roman" w:cs="Times New Roman"/>
                <w:sz w:val="24"/>
                <w:szCs w:val="24"/>
                <w:highlight w:val="yellow"/>
              </w:rPr>
            </w:pPr>
            <w:r w:rsidRPr="00FA4313">
              <w:rPr>
                <w:rFonts w:ascii="Times New Roman" w:hAnsi="Times New Roman" w:cs="Times New Roman"/>
                <w:sz w:val="24"/>
                <w:szCs w:val="24"/>
              </w:rPr>
              <w:t>15,50%</w:t>
            </w:r>
          </w:p>
        </w:tc>
        <w:tc>
          <w:tcPr>
            <w:tcW w:w="1318" w:type="dxa"/>
          </w:tcPr>
          <w:p w14:paraId="1BA8679D" w14:textId="77777777" w:rsidR="00E9220A" w:rsidRPr="00FA4313" w:rsidRDefault="00A656F0" w:rsidP="00FA4313">
            <w:pPr>
              <w:jc w:val="both"/>
              <w:rPr>
                <w:rFonts w:ascii="Times New Roman" w:hAnsi="Times New Roman" w:cs="Times New Roman"/>
                <w:sz w:val="24"/>
                <w:szCs w:val="24"/>
                <w:highlight w:val="yellow"/>
              </w:rPr>
            </w:pPr>
            <w:r w:rsidRPr="00FA4313">
              <w:rPr>
                <w:rFonts w:ascii="Times New Roman" w:hAnsi="Times New Roman" w:cs="Times New Roman"/>
                <w:sz w:val="24"/>
                <w:szCs w:val="24"/>
              </w:rPr>
              <w:t>15,50%</w:t>
            </w:r>
          </w:p>
        </w:tc>
        <w:tc>
          <w:tcPr>
            <w:tcW w:w="1318" w:type="dxa"/>
          </w:tcPr>
          <w:p w14:paraId="269BBA7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15,50%</w:t>
            </w:r>
          </w:p>
        </w:tc>
      </w:tr>
      <w:tr w:rsidR="00E9220A" w:rsidRPr="00FA4313" w14:paraId="16BABB35" w14:textId="77777777">
        <w:trPr>
          <w:trHeight w:val="290"/>
        </w:trPr>
        <w:tc>
          <w:tcPr>
            <w:tcW w:w="2538" w:type="dxa"/>
          </w:tcPr>
          <w:p w14:paraId="37FC091E"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Real Post-tax Cost of Equity</w:t>
            </w:r>
          </w:p>
        </w:tc>
        <w:tc>
          <w:tcPr>
            <w:tcW w:w="1206" w:type="dxa"/>
          </w:tcPr>
          <w:p w14:paraId="5AF687E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7,84%</w:t>
            </w:r>
          </w:p>
        </w:tc>
        <w:tc>
          <w:tcPr>
            <w:tcW w:w="1318" w:type="dxa"/>
          </w:tcPr>
          <w:p w14:paraId="3EC9B2F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8,07%</w:t>
            </w:r>
          </w:p>
        </w:tc>
        <w:tc>
          <w:tcPr>
            <w:tcW w:w="1318" w:type="dxa"/>
          </w:tcPr>
          <w:p w14:paraId="5AE3911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8,07%</w:t>
            </w:r>
          </w:p>
        </w:tc>
        <w:tc>
          <w:tcPr>
            <w:tcW w:w="1318" w:type="dxa"/>
          </w:tcPr>
          <w:p w14:paraId="6741CD4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c>
          <w:tcPr>
            <w:tcW w:w="1318" w:type="dxa"/>
          </w:tcPr>
          <w:p w14:paraId="626D509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4,77%</w:t>
            </w:r>
          </w:p>
        </w:tc>
      </w:tr>
      <w:tr w:rsidR="00E9220A" w:rsidRPr="00FA4313" w14:paraId="6CD46350" w14:textId="77777777">
        <w:trPr>
          <w:trHeight w:val="290"/>
        </w:trPr>
        <w:tc>
          <w:tcPr>
            <w:tcW w:w="2538" w:type="dxa"/>
          </w:tcPr>
          <w:p w14:paraId="14AC92C2"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Real Pre-tax Weighted Average Cost of Debt</w:t>
            </w:r>
          </w:p>
        </w:tc>
        <w:tc>
          <w:tcPr>
            <w:tcW w:w="1206" w:type="dxa"/>
          </w:tcPr>
          <w:p w14:paraId="3B86E04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6,13%</w:t>
            </w:r>
          </w:p>
        </w:tc>
        <w:tc>
          <w:tcPr>
            <w:tcW w:w="1318" w:type="dxa"/>
          </w:tcPr>
          <w:p w14:paraId="4057391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6,13%</w:t>
            </w:r>
          </w:p>
        </w:tc>
        <w:tc>
          <w:tcPr>
            <w:tcW w:w="1318" w:type="dxa"/>
          </w:tcPr>
          <w:p w14:paraId="6D37239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6,13%</w:t>
            </w:r>
          </w:p>
        </w:tc>
        <w:tc>
          <w:tcPr>
            <w:tcW w:w="1318" w:type="dxa"/>
          </w:tcPr>
          <w:p w14:paraId="775E379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6,13%</w:t>
            </w:r>
          </w:p>
        </w:tc>
        <w:tc>
          <w:tcPr>
            <w:tcW w:w="1318" w:type="dxa"/>
          </w:tcPr>
          <w:p w14:paraId="7486A77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6,13%</w:t>
            </w:r>
          </w:p>
        </w:tc>
      </w:tr>
      <w:tr w:rsidR="00E9220A" w:rsidRPr="00FA4313" w14:paraId="235055BB" w14:textId="77777777">
        <w:trPr>
          <w:trHeight w:val="290"/>
        </w:trPr>
        <w:tc>
          <w:tcPr>
            <w:tcW w:w="2538" w:type="dxa"/>
          </w:tcPr>
          <w:p w14:paraId="2AF2EC79"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Real Vanilla WACC</w:t>
            </w:r>
          </w:p>
        </w:tc>
        <w:tc>
          <w:tcPr>
            <w:tcW w:w="1206" w:type="dxa"/>
          </w:tcPr>
          <w:p w14:paraId="4466B3E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6,99%</w:t>
            </w:r>
          </w:p>
        </w:tc>
        <w:tc>
          <w:tcPr>
            <w:tcW w:w="1318" w:type="dxa"/>
          </w:tcPr>
          <w:p w14:paraId="3310658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7,10%</w:t>
            </w:r>
          </w:p>
        </w:tc>
        <w:tc>
          <w:tcPr>
            <w:tcW w:w="1318" w:type="dxa"/>
          </w:tcPr>
          <w:p w14:paraId="1712F5B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7,10%</w:t>
            </w:r>
          </w:p>
        </w:tc>
        <w:tc>
          <w:tcPr>
            <w:tcW w:w="1318" w:type="dxa"/>
          </w:tcPr>
          <w:p w14:paraId="4D69E80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5,45%</w:t>
            </w:r>
          </w:p>
        </w:tc>
        <w:tc>
          <w:tcPr>
            <w:tcW w:w="1318" w:type="dxa"/>
          </w:tcPr>
          <w:p w14:paraId="72F7B10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5,45%</w:t>
            </w:r>
          </w:p>
        </w:tc>
      </w:tr>
      <w:tr w:rsidR="00E9220A" w:rsidRPr="00FA4313" w14:paraId="3B06F00F" w14:textId="77777777">
        <w:trPr>
          <w:trHeight w:val="290"/>
        </w:trPr>
        <w:tc>
          <w:tcPr>
            <w:tcW w:w="2538" w:type="dxa"/>
          </w:tcPr>
          <w:p w14:paraId="5BF5B349" w14:textId="77777777" w:rsidR="00E9220A" w:rsidRPr="00FA4313" w:rsidRDefault="00E9220A" w:rsidP="00FA4313">
            <w:pPr>
              <w:rPr>
                <w:rFonts w:ascii="Times New Roman" w:hAnsi="Times New Roman" w:cs="Times New Roman"/>
                <w:sz w:val="24"/>
                <w:szCs w:val="24"/>
              </w:rPr>
            </w:pPr>
          </w:p>
        </w:tc>
        <w:tc>
          <w:tcPr>
            <w:tcW w:w="1206" w:type="dxa"/>
          </w:tcPr>
          <w:p w14:paraId="7BEBD4E0" w14:textId="77777777" w:rsidR="00E9220A" w:rsidRPr="00FA4313" w:rsidRDefault="00E9220A" w:rsidP="00FA4313">
            <w:pPr>
              <w:jc w:val="both"/>
              <w:rPr>
                <w:rFonts w:ascii="Times New Roman" w:hAnsi="Times New Roman" w:cs="Times New Roman"/>
                <w:sz w:val="24"/>
                <w:szCs w:val="24"/>
              </w:rPr>
            </w:pPr>
          </w:p>
        </w:tc>
        <w:tc>
          <w:tcPr>
            <w:tcW w:w="1318" w:type="dxa"/>
          </w:tcPr>
          <w:p w14:paraId="2152A205" w14:textId="77777777" w:rsidR="00E9220A" w:rsidRPr="00FA4313" w:rsidRDefault="00E9220A" w:rsidP="00FA4313">
            <w:pPr>
              <w:jc w:val="both"/>
              <w:rPr>
                <w:rFonts w:ascii="Times New Roman" w:hAnsi="Times New Roman" w:cs="Times New Roman"/>
                <w:sz w:val="24"/>
                <w:szCs w:val="24"/>
              </w:rPr>
            </w:pPr>
          </w:p>
        </w:tc>
        <w:tc>
          <w:tcPr>
            <w:tcW w:w="1318" w:type="dxa"/>
          </w:tcPr>
          <w:p w14:paraId="7A1E4B0B" w14:textId="77777777" w:rsidR="00E9220A" w:rsidRPr="00FA4313" w:rsidRDefault="00E9220A" w:rsidP="00FA4313">
            <w:pPr>
              <w:jc w:val="both"/>
              <w:rPr>
                <w:rFonts w:ascii="Times New Roman" w:hAnsi="Times New Roman" w:cs="Times New Roman"/>
                <w:sz w:val="24"/>
                <w:szCs w:val="24"/>
              </w:rPr>
            </w:pPr>
          </w:p>
        </w:tc>
        <w:tc>
          <w:tcPr>
            <w:tcW w:w="1318" w:type="dxa"/>
          </w:tcPr>
          <w:p w14:paraId="7731CBCB" w14:textId="77777777" w:rsidR="00E9220A" w:rsidRPr="00FA4313" w:rsidRDefault="00E9220A" w:rsidP="00FA4313">
            <w:pPr>
              <w:jc w:val="both"/>
              <w:rPr>
                <w:rFonts w:ascii="Times New Roman" w:hAnsi="Times New Roman" w:cs="Times New Roman"/>
                <w:sz w:val="24"/>
                <w:szCs w:val="24"/>
              </w:rPr>
            </w:pPr>
          </w:p>
        </w:tc>
        <w:tc>
          <w:tcPr>
            <w:tcW w:w="1318" w:type="dxa"/>
          </w:tcPr>
          <w:p w14:paraId="4C64330A" w14:textId="77777777" w:rsidR="00E9220A" w:rsidRPr="00FA4313" w:rsidRDefault="00E9220A" w:rsidP="00FA4313">
            <w:pPr>
              <w:jc w:val="both"/>
              <w:rPr>
                <w:rFonts w:ascii="Times New Roman" w:hAnsi="Times New Roman" w:cs="Times New Roman"/>
                <w:sz w:val="24"/>
                <w:szCs w:val="24"/>
              </w:rPr>
            </w:pPr>
          </w:p>
        </w:tc>
      </w:tr>
      <w:tr w:rsidR="00E9220A" w:rsidRPr="00FA4313" w14:paraId="6B026E56" w14:textId="77777777">
        <w:trPr>
          <w:trHeight w:val="290"/>
        </w:trPr>
        <w:tc>
          <w:tcPr>
            <w:tcW w:w="2538" w:type="dxa"/>
          </w:tcPr>
          <w:p w14:paraId="143438BB"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Regulatory Asset Base</w:t>
            </w:r>
          </w:p>
        </w:tc>
        <w:tc>
          <w:tcPr>
            <w:tcW w:w="1206" w:type="dxa"/>
          </w:tcPr>
          <w:p w14:paraId="32712A2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79 382</w:t>
            </w:r>
          </w:p>
        </w:tc>
        <w:tc>
          <w:tcPr>
            <w:tcW w:w="1318" w:type="dxa"/>
          </w:tcPr>
          <w:p w14:paraId="3A6A502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79 382</w:t>
            </w:r>
          </w:p>
        </w:tc>
        <w:tc>
          <w:tcPr>
            <w:tcW w:w="1318" w:type="dxa"/>
          </w:tcPr>
          <w:p w14:paraId="1B913D3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79 382</w:t>
            </w:r>
          </w:p>
        </w:tc>
        <w:tc>
          <w:tcPr>
            <w:tcW w:w="1318" w:type="dxa"/>
          </w:tcPr>
          <w:p w14:paraId="2DE6FD9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64 882</w:t>
            </w:r>
          </w:p>
        </w:tc>
        <w:tc>
          <w:tcPr>
            <w:tcW w:w="1318" w:type="dxa"/>
          </w:tcPr>
          <w:p w14:paraId="119A643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64 882</w:t>
            </w:r>
          </w:p>
        </w:tc>
      </w:tr>
      <w:tr w:rsidR="00E9220A" w:rsidRPr="00FA4313" w14:paraId="16BDEFAF" w14:textId="77777777">
        <w:trPr>
          <w:trHeight w:val="290"/>
        </w:trPr>
        <w:tc>
          <w:tcPr>
            <w:tcW w:w="2538" w:type="dxa"/>
          </w:tcPr>
          <w:p w14:paraId="574FBE78"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Vanilla WACC</w:t>
            </w:r>
          </w:p>
        </w:tc>
        <w:tc>
          <w:tcPr>
            <w:tcW w:w="1206" w:type="dxa"/>
          </w:tcPr>
          <w:p w14:paraId="294AEAB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6,99%</w:t>
            </w:r>
          </w:p>
        </w:tc>
        <w:tc>
          <w:tcPr>
            <w:tcW w:w="1318" w:type="dxa"/>
          </w:tcPr>
          <w:p w14:paraId="3A1B689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7,10%</w:t>
            </w:r>
          </w:p>
        </w:tc>
        <w:tc>
          <w:tcPr>
            <w:tcW w:w="1318" w:type="dxa"/>
          </w:tcPr>
          <w:p w14:paraId="48892BB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7,10%</w:t>
            </w:r>
          </w:p>
        </w:tc>
        <w:tc>
          <w:tcPr>
            <w:tcW w:w="1318" w:type="dxa"/>
          </w:tcPr>
          <w:p w14:paraId="515F262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5,45%</w:t>
            </w:r>
          </w:p>
        </w:tc>
        <w:tc>
          <w:tcPr>
            <w:tcW w:w="1318" w:type="dxa"/>
          </w:tcPr>
          <w:p w14:paraId="4A46BC9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5,45%</w:t>
            </w:r>
          </w:p>
        </w:tc>
      </w:tr>
      <w:tr w:rsidR="00E9220A" w:rsidRPr="00FA4313" w14:paraId="0550E4F3" w14:textId="77777777">
        <w:trPr>
          <w:trHeight w:val="290"/>
        </w:trPr>
        <w:tc>
          <w:tcPr>
            <w:tcW w:w="2538" w:type="dxa"/>
          </w:tcPr>
          <w:p w14:paraId="0FA0C599"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Return on Capital</w:t>
            </w:r>
          </w:p>
        </w:tc>
        <w:tc>
          <w:tcPr>
            <w:tcW w:w="1206" w:type="dxa"/>
          </w:tcPr>
          <w:p w14:paraId="25C93AD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5 547</w:t>
            </w:r>
          </w:p>
        </w:tc>
        <w:tc>
          <w:tcPr>
            <w:tcW w:w="1318" w:type="dxa"/>
          </w:tcPr>
          <w:p w14:paraId="33E28BF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5 636</w:t>
            </w:r>
          </w:p>
        </w:tc>
        <w:tc>
          <w:tcPr>
            <w:tcW w:w="1318" w:type="dxa"/>
          </w:tcPr>
          <w:p w14:paraId="152152D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5 636</w:t>
            </w:r>
          </w:p>
        </w:tc>
        <w:tc>
          <w:tcPr>
            <w:tcW w:w="1318" w:type="dxa"/>
          </w:tcPr>
          <w:p w14:paraId="3A74959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3 538</w:t>
            </w:r>
          </w:p>
        </w:tc>
        <w:tc>
          <w:tcPr>
            <w:tcW w:w="1318" w:type="dxa"/>
          </w:tcPr>
          <w:p w14:paraId="259CA41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3 538</w:t>
            </w:r>
          </w:p>
        </w:tc>
      </w:tr>
      <w:tr w:rsidR="00E9220A" w:rsidRPr="00FA4313" w14:paraId="67C3ABE8" w14:textId="77777777">
        <w:trPr>
          <w:trHeight w:val="290"/>
        </w:trPr>
        <w:tc>
          <w:tcPr>
            <w:tcW w:w="2538" w:type="dxa"/>
          </w:tcPr>
          <w:p w14:paraId="0B6BEDC9"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Plus:</w:t>
            </w:r>
            <w:r w:rsidR="00A656F0" w:rsidRPr="00FA4313">
              <w:rPr>
                <w:rFonts w:ascii="Times New Roman" w:hAnsi="Times New Roman" w:cs="Times New Roman"/>
                <w:sz w:val="24"/>
                <w:szCs w:val="24"/>
              </w:rPr>
              <w:t xml:space="preserve"> Depreciation</w:t>
            </w:r>
          </w:p>
        </w:tc>
        <w:tc>
          <w:tcPr>
            <w:tcW w:w="1206" w:type="dxa"/>
          </w:tcPr>
          <w:p w14:paraId="468DF1A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4E7BEE3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036E21A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330CBDB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c>
          <w:tcPr>
            <w:tcW w:w="1318" w:type="dxa"/>
          </w:tcPr>
          <w:p w14:paraId="0AD6A6A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2 560</w:t>
            </w:r>
          </w:p>
        </w:tc>
      </w:tr>
      <w:tr w:rsidR="00E9220A" w:rsidRPr="00FA4313" w14:paraId="6AA7BF19" w14:textId="77777777">
        <w:trPr>
          <w:trHeight w:val="290"/>
        </w:trPr>
        <w:tc>
          <w:tcPr>
            <w:tcW w:w="2538" w:type="dxa"/>
          </w:tcPr>
          <w:p w14:paraId="58A6C450"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Plus:</w:t>
            </w:r>
            <w:r w:rsidR="00A656F0" w:rsidRPr="00FA4313">
              <w:rPr>
                <w:rFonts w:ascii="Times New Roman" w:hAnsi="Times New Roman" w:cs="Times New Roman"/>
                <w:sz w:val="24"/>
                <w:szCs w:val="24"/>
              </w:rPr>
              <w:t xml:space="preserve"> OPEX</w:t>
            </w:r>
          </w:p>
        </w:tc>
        <w:tc>
          <w:tcPr>
            <w:tcW w:w="1206" w:type="dxa"/>
          </w:tcPr>
          <w:p w14:paraId="10C6138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5 919</w:t>
            </w:r>
          </w:p>
        </w:tc>
        <w:tc>
          <w:tcPr>
            <w:tcW w:w="1318" w:type="dxa"/>
          </w:tcPr>
          <w:p w14:paraId="19E7A2B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5 919</w:t>
            </w:r>
          </w:p>
        </w:tc>
        <w:tc>
          <w:tcPr>
            <w:tcW w:w="1318" w:type="dxa"/>
          </w:tcPr>
          <w:p w14:paraId="665A38A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5 919</w:t>
            </w:r>
          </w:p>
        </w:tc>
        <w:tc>
          <w:tcPr>
            <w:tcW w:w="1318" w:type="dxa"/>
          </w:tcPr>
          <w:p w14:paraId="2E3CF16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5 919</w:t>
            </w:r>
          </w:p>
        </w:tc>
        <w:tc>
          <w:tcPr>
            <w:tcW w:w="1318" w:type="dxa"/>
          </w:tcPr>
          <w:p w14:paraId="7306E5B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5 919</w:t>
            </w:r>
          </w:p>
        </w:tc>
      </w:tr>
      <w:tr w:rsidR="00E9220A" w:rsidRPr="00FA4313" w14:paraId="30AE1E21" w14:textId="77777777">
        <w:trPr>
          <w:trHeight w:val="290"/>
        </w:trPr>
        <w:tc>
          <w:tcPr>
            <w:tcW w:w="2538" w:type="dxa"/>
          </w:tcPr>
          <w:p w14:paraId="405B1AA4"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Plus:</w:t>
            </w:r>
            <w:r w:rsidR="00A656F0" w:rsidRPr="00FA4313">
              <w:rPr>
                <w:rFonts w:ascii="Times New Roman" w:hAnsi="Times New Roman" w:cs="Times New Roman"/>
                <w:sz w:val="24"/>
                <w:szCs w:val="24"/>
              </w:rPr>
              <w:t xml:space="preserve"> Taxation Expense</w:t>
            </w:r>
          </w:p>
        </w:tc>
        <w:tc>
          <w:tcPr>
            <w:tcW w:w="1206" w:type="dxa"/>
          </w:tcPr>
          <w:p w14:paraId="0219E96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1 211</w:t>
            </w:r>
          </w:p>
        </w:tc>
        <w:tc>
          <w:tcPr>
            <w:tcW w:w="1318" w:type="dxa"/>
          </w:tcPr>
          <w:p w14:paraId="371B2C5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670</w:t>
            </w:r>
          </w:p>
        </w:tc>
        <w:tc>
          <w:tcPr>
            <w:tcW w:w="1318" w:type="dxa"/>
          </w:tcPr>
          <w:p w14:paraId="2880FA5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670</w:t>
            </w:r>
          </w:p>
        </w:tc>
        <w:tc>
          <w:tcPr>
            <w:tcW w:w="1318" w:type="dxa"/>
          </w:tcPr>
          <w:p w14:paraId="7710F2A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670</w:t>
            </w:r>
          </w:p>
        </w:tc>
        <w:tc>
          <w:tcPr>
            <w:tcW w:w="1318" w:type="dxa"/>
          </w:tcPr>
          <w:p w14:paraId="603A1E6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670</w:t>
            </w:r>
          </w:p>
        </w:tc>
      </w:tr>
      <w:tr w:rsidR="00E9220A" w:rsidRPr="00FA4313" w14:paraId="3BEFDAAD" w14:textId="77777777">
        <w:trPr>
          <w:trHeight w:val="290"/>
        </w:trPr>
        <w:tc>
          <w:tcPr>
            <w:tcW w:w="2538" w:type="dxa"/>
          </w:tcPr>
          <w:p w14:paraId="22C6AC5C"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Plus/Less:</w:t>
            </w:r>
            <w:r w:rsidR="00A656F0" w:rsidRPr="00FA4313">
              <w:rPr>
                <w:rFonts w:ascii="Times New Roman" w:hAnsi="Times New Roman" w:cs="Times New Roman"/>
                <w:sz w:val="24"/>
                <w:szCs w:val="24"/>
              </w:rPr>
              <w:t xml:space="preserve"> WEGO</w:t>
            </w:r>
          </w:p>
        </w:tc>
        <w:tc>
          <w:tcPr>
            <w:tcW w:w="1206" w:type="dxa"/>
          </w:tcPr>
          <w:p w14:paraId="3ACF0D2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-151</w:t>
            </w:r>
          </w:p>
        </w:tc>
        <w:tc>
          <w:tcPr>
            <w:tcW w:w="1318" w:type="dxa"/>
          </w:tcPr>
          <w:p w14:paraId="34377E4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-151</w:t>
            </w:r>
          </w:p>
        </w:tc>
        <w:tc>
          <w:tcPr>
            <w:tcW w:w="1318" w:type="dxa"/>
          </w:tcPr>
          <w:p w14:paraId="4FF575F0"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-151</w:t>
            </w:r>
          </w:p>
        </w:tc>
        <w:tc>
          <w:tcPr>
            <w:tcW w:w="1318" w:type="dxa"/>
          </w:tcPr>
          <w:p w14:paraId="16BA5ED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-151</w:t>
            </w:r>
          </w:p>
        </w:tc>
        <w:tc>
          <w:tcPr>
            <w:tcW w:w="1318" w:type="dxa"/>
          </w:tcPr>
          <w:p w14:paraId="06D5321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-151</w:t>
            </w:r>
          </w:p>
        </w:tc>
      </w:tr>
      <w:tr w:rsidR="00E9220A" w:rsidRPr="00FA4313" w14:paraId="06B91E55" w14:textId="77777777">
        <w:trPr>
          <w:trHeight w:val="290"/>
        </w:trPr>
        <w:tc>
          <w:tcPr>
            <w:tcW w:w="2538" w:type="dxa"/>
          </w:tcPr>
          <w:p w14:paraId="7BA4E068"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Plus/Less:</w:t>
            </w:r>
            <w:r w:rsidR="00A656F0" w:rsidRPr="00FA4313">
              <w:rPr>
                <w:rFonts w:ascii="Times New Roman" w:hAnsi="Times New Roman" w:cs="Times New Roman"/>
                <w:sz w:val="24"/>
                <w:szCs w:val="24"/>
              </w:rPr>
              <w:t xml:space="preserve"> Clawback</w:t>
            </w:r>
          </w:p>
        </w:tc>
        <w:tc>
          <w:tcPr>
            <w:tcW w:w="1206" w:type="dxa"/>
          </w:tcPr>
          <w:p w14:paraId="7F41F38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-355</w:t>
            </w:r>
          </w:p>
        </w:tc>
        <w:tc>
          <w:tcPr>
            <w:tcW w:w="1318" w:type="dxa"/>
          </w:tcPr>
          <w:p w14:paraId="2027BAA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-355</w:t>
            </w:r>
          </w:p>
        </w:tc>
        <w:tc>
          <w:tcPr>
            <w:tcW w:w="1318" w:type="dxa"/>
          </w:tcPr>
          <w:p w14:paraId="2F2FD52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-355</w:t>
            </w:r>
          </w:p>
        </w:tc>
        <w:tc>
          <w:tcPr>
            <w:tcW w:w="1318" w:type="dxa"/>
          </w:tcPr>
          <w:p w14:paraId="5911467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-355</w:t>
            </w:r>
          </w:p>
        </w:tc>
        <w:tc>
          <w:tcPr>
            <w:tcW w:w="1318" w:type="dxa"/>
          </w:tcPr>
          <w:p w14:paraId="06C9CC8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-355</w:t>
            </w:r>
          </w:p>
        </w:tc>
      </w:tr>
      <w:tr w:rsidR="00E9220A" w:rsidRPr="00FA4313" w14:paraId="0E2D9E44" w14:textId="77777777">
        <w:trPr>
          <w:trHeight w:val="290"/>
        </w:trPr>
        <w:tc>
          <w:tcPr>
            <w:tcW w:w="2538" w:type="dxa"/>
          </w:tcPr>
          <w:p w14:paraId="06CD65F2"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Plus/Less:</w:t>
            </w:r>
            <w:r w:rsidR="00A656F0" w:rsidRPr="00FA4313">
              <w:rPr>
                <w:rFonts w:ascii="Times New Roman" w:hAnsi="Times New Roman" w:cs="Times New Roman"/>
                <w:sz w:val="24"/>
                <w:szCs w:val="24"/>
              </w:rPr>
              <w:t xml:space="preserve"> ETIMC</w:t>
            </w:r>
          </w:p>
        </w:tc>
        <w:tc>
          <w:tcPr>
            <w:tcW w:w="1206" w:type="dxa"/>
          </w:tcPr>
          <w:p w14:paraId="10CC97D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 </w:t>
            </w:r>
          </w:p>
        </w:tc>
        <w:tc>
          <w:tcPr>
            <w:tcW w:w="1318" w:type="dxa"/>
          </w:tcPr>
          <w:p w14:paraId="13E9929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 </w:t>
            </w:r>
          </w:p>
        </w:tc>
        <w:tc>
          <w:tcPr>
            <w:tcW w:w="1318" w:type="dxa"/>
          </w:tcPr>
          <w:p w14:paraId="02A92D8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-1 251</w:t>
            </w:r>
          </w:p>
        </w:tc>
        <w:tc>
          <w:tcPr>
            <w:tcW w:w="1318" w:type="dxa"/>
          </w:tcPr>
          <w:p w14:paraId="2F4568B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0</w:t>
            </w:r>
          </w:p>
        </w:tc>
        <w:tc>
          <w:tcPr>
            <w:tcW w:w="1318" w:type="dxa"/>
          </w:tcPr>
          <w:p w14:paraId="14D017C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-1 251</w:t>
            </w:r>
          </w:p>
        </w:tc>
      </w:tr>
      <w:tr w:rsidR="00E9220A" w:rsidRPr="00FA4313" w14:paraId="5256B33E" w14:textId="77777777">
        <w:trPr>
          <w:trHeight w:val="290"/>
        </w:trPr>
        <w:tc>
          <w:tcPr>
            <w:tcW w:w="2538" w:type="dxa"/>
          </w:tcPr>
          <w:p w14:paraId="071D502D"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Revenue Allowed</w:t>
            </w:r>
          </w:p>
        </w:tc>
        <w:tc>
          <w:tcPr>
            <w:tcW w:w="1206" w:type="dxa"/>
          </w:tcPr>
          <w:p w14:paraId="0A998E0A"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14 731</w:t>
            </w:r>
          </w:p>
        </w:tc>
        <w:tc>
          <w:tcPr>
            <w:tcW w:w="1318" w:type="dxa"/>
          </w:tcPr>
          <w:p w14:paraId="3FEAD83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14 279</w:t>
            </w:r>
          </w:p>
        </w:tc>
        <w:tc>
          <w:tcPr>
            <w:tcW w:w="1318" w:type="dxa"/>
          </w:tcPr>
          <w:p w14:paraId="2F76AEB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13 028</w:t>
            </w:r>
          </w:p>
        </w:tc>
        <w:tc>
          <w:tcPr>
            <w:tcW w:w="1318" w:type="dxa"/>
          </w:tcPr>
          <w:p w14:paraId="7719ADC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12 181</w:t>
            </w:r>
          </w:p>
        </w:tc>
        <w:tc>
          <w:tcPr>
            <w:tcW w:w="1318" w:type="dxa"/>
          </w:tcPr>
          <w:p w14:paraId="2F2C521B"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10 930</w:t>
            </w:r>
          </w:p>
        </w:tc>
      </w:tr>
      <w:tr w:rsidR="00E9220A" w:rsidRPr="00FA4313" w14:paraId="57313C55" w14:textId="77777777">
        <w:trPr>
          <w:trHeight w:val="290"/>
        </w:trPr>
        <w:tc>
          <w:tcPr>
            <w:tcW w:w="2538" w:type="dxa"/>
          </w:tcPr>
          <w:p w14:paraId="63273EC4" w14:textId="77777777" w:rsidR="00E9220A" w:rsidRPr="00FA4313" w:rsidRDefault="00EE5B92" w:rsidP="00FA4313">
            <w:pPr>
              <w:rPr>
                <w:rFonts w:ascii="Times New Roman" w:hAnsi="Times New Roman" w:cs="Times New Roman"/>
                <w:sz w:val="24"/>
                <w:szCs w:val="24"/>
              </w:rPr>
            </w:pPr>
            <w:r w:rsidRPr="00FA4313">
              <w:rPr>
                <w:rFonts w:ascii="Times New Roman" w:hAnsi="Times New Roman" w:cs="Times New Roman"/>
                <w:sz w:val="24"/>
                <w:szCs w:val="24"/>
              </w:rPr>
              <w:t xml:space="preserve">   </w:t>
            </w:r>
            <w:r w:rsidR="00A656F0" w:rsidRPr="00FA4313">
              <w:rPr>
                <w:rFonts w:ascii="Times New Roman" w:hAnsi="Times New Roman" w:cs="Times New Roman"/>
                <w:i/>
                <w:sz w:val="24"/>
                <w:szCs w:val="24"/>
              </w:rPr>
              <w:t>Less:</w:t>
            </w:r>
            <w:r w:rsidR="00A656F0" w:rsidRPr="00FA4313">
              <w:rPr>
                <w:rFonts w:ascii="Times New Roman" w:hAnsi="Times New Roman" w:cs="Times New Roman"/>
                <w:sz w:val="24"/>
                <w:szCs w:val="24"/>
              </w:rPr>
              <w:t xml:space="preserve"> Real Estate</w:t>
            </w:r>
          </w:p>
        </w:tc>
        <w:tc>
          <w:tcPr>
            <w:tcW w:w="1206" w:type="dxa"/>
          </w:tcPr>
          <w:p w14:paraId="739FDEF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-4 085</w:t>
            </w:r>
          </w:p>
        </w:tc>
        <w:tc>
          <w:tcPr>
            <w:tcW w:w="1318" w:type="dxa"/>
          </w:tcPr>
          <w:p w14:paraId="5739639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-4 085</w:t>
            </w:r>
          </w:p>
        </w:tc>
        <w:tc>
          <w:tcPr>
            <w:tcW w:w="1318" w:type="dxa"/>
          </w:tcPr>
          <w:p w14:paraId="4FADE0E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-4 085</w:t>
            </w:r>
          </w:p>
        </w:tc>
        <w:tc>
          <w:tcPr>
            <w:tcW w:w="1318" w:type="dxa"/>
          </w:tcPr>
          <w:p w14:paraId="5C9B0531"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-4 085</w:t>
            </w:r>
          </w:p>
        </w:tc>
        <w:tc>
          <w:tcPr>
            <w:tcW w:w="1318" w:type="dxa"/>
          </w:tcPr>
          <w:p w14:paraId="422316D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-4 085</w:t>
            </w:r>
          </w:p>
        </w:tc>
      </w:tr>
      <w:tr w:rsidR="00E9220A" w:rsidRPr="00FA4313" w14:paraId="09482B22" w14:textId="77777777">
        <w:trPr>
          <w:trHeight w:val="290"/>
        </w:trPr>
        <w:tc>
          <w:tcPr>
            <w:tcW w:w="2538" w:type="dxa"/>
          </w:tcPr>
          <w:p w14:paraId="16E4621F"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Marine Revenue</w:t>
            </w:r>
          </w:p>
        </w:tc>
        <w:tc>
          <w:tcPr>
            <w:tcW w:w="1206" w:type="dxa"/>
          </w:tcPr>
          <w:p w14:paraId="5294FF8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10 646</w:t>
            </w:r>
          </w:p>
        </w:tc>
        <w:tc>
          <w:tcPr>
            <w:tcW w:w="1318" w:type="dxa"/>
          </w:tcPr>
          <w:p w14:paraId="391C983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10 194</w:t>
            </w:r>
          </w:p>
        </w:tc>
        <w:tc>
          <w:tcPr>
            <w:tcW w:w="1318" w:type="dxa"/>
          </w:tcPr>
          <w:p w14:paraId="19086793"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8 943</w:t>
            </w:r>
          </w:p>
        </w:tc>
        <w:tc>
          <w:tcPr>
            <w:tcW w:w="1318" w:type="dxa"/>
          </w:tcPr>
          <w:p w14:paraId="727A33F6"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8 096</w:t>
            </w:r>
          </w:p>
        </w:tc>
        <w:tc>
          <w:tcPr>
            <w:tcW w:w="1318" w:type="dxa"/>
          </w:tcPr>
          <w:p w14:paraId="5528621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6 845</w:t>
            </w:r>
          </w:p>
        </w:tc>
      </w:tr>
      <w:tr w:rsidR="00E9220A" w:rsidRPr="00FA4313" w14:paraId="283505C4" w14:textId="77777777">
        <w:trPr>
          <w:trHeight w:val="290"/>
        </w:trPr>
        <w:tc>
          <w:tcPr>
            <w:tcW w:w="2538" w:type="dxa"/>
          </w:tcPr>
          <w:p w14:paraId="30AB66DB" w14:textId="77777777" w:rsidR="00E9220A" w:rsidRPr="00FA4313" w:rsidRDefault="00E9220A" w:rsidP="00FA4313">
            <w:pPr>
              <w:rPr>
                <w:rFonts w:ascii="Times New Roman" w:hAnsi="Times New Roman" w:cs="Times New Roman"/>
                <w:sz w:val="24"/>
                <w:szCs w:val="24"/>
              </w:rPr>
            </w:pPr>
          </w:p>
        </w:tc>
        <w:tc>
          <w:tcPr>
            <w:tcW w:w="1206" w:type="dxa"/>
          </w:tcPr>
          <w:p w14:paraId="3A95BF8B" w14:textId="77777777" w:rsidR="00E9220A" w:rsidRPr="00FA4313" w:rsidRDefault="00E9220A" w:rsidP="00FA4313">
            <w:pPr>
              <w:jc w:val="both"/>
              <w:rPr>
                <w:rFonts w:ascii="Times New Roman" w:hAnsi="Times New Roman" w:cs="Times New Roman"/>
                <w:sz w:val="24"/>
                <w:szCs w:val="24"/>
              </w:rPr>
            </w:pPr>
          </w:p>
        </w:tc>
        <w:tc>
          <w:tcPr>
            <w:tcW w:w="1318" w:type="dxa"/>
          </w:tcPr>
          <w:p w14:paraId="1DE20520" w14:textId="77777777" w:rsidR="00E9220A" w:rsidRPr="00FA4313" w:rsidRDefault="00E9220A" w:rsidP="00FA4313">
            <w:pPr>
              <w:jc w:val="both"/>
              <w:rPr>
                <w:rFonts w:ascii="Times New Roman" w:hAnsi="Times New Roman" w:cs="Times New Roman"/>
                <w:sz w:val="24"/>
                <w:szCs w:val="24"/>
              </w:rPr>
            </w:pPr>
          </w:p>
        </w:tc>
        <w:tc>
          <w:tcPr>
            <w:tcW w:w="1318" w:type="dxa"/>
          </w:tcPr>
          <w:p w14:paraId="02EB5700" w14:textId="77777777" w:rsidR="00E9220A" w:rsidRPr="00FA4313" w:rsidRDefault="00E9220A" w:rsidP="00FA4313">
            <w:pPr>
              <w:jc w:val="both"/>
              <w:rPr>
                <w:rFonts w:ascii="Times New Roman" w:hAnsi="Times New Roman" w:cs="Times New Roman"/>
                <w:sz w:val="24"/>
                <w:szCs w:val="24"/>
              </w:rPr>
            </w:pPr>
          </w:p>
        </w:tc>
        <w:tc>
          <w:tcPr>
            <w:tcW w:w="1318" w:type="dxa"/>
          </w:tcPr>
          <w:p w14:paraId="19753B39" w14:textId="77777777" w:rsidR="00E9220A" w:rsidRPr="00FA4313" w:rsidRDefault="00E9220A" w:rsidP="00FA4313">
            <w:pPr>
              <w:jc w:val="both"/>
              <w:rPr>
                <w:rFonts w:ascii="Times New Roman" w:hAnsi="Times New Roman" w:cs="Times New Roman"/>
                <w:sz w:val="24"/>
                <w:szCs w:val="24"/>
              </w:rPr>
            </w:pPr>
          </w:p>
        </w:tc>
        <w:tc>
          <w:tcPr>
            <w:tcW w:w="1318" w:type="dxa"/>
          </w:tcPr>
          <w:p w14:paraId="416DB13B" w14:textId="77777777" w:rsidR="00E9220A" w:rsidRPr="00FA4313" w:rsidRDefault="00E9220A" w:rsidP="00FA4313">
            <w:pPr>
              <w:jc w:val="both"/>
              <w:rPr>
                <w:rFonts w:ascii="Times New Roman" w:hAnsi="Times New Roman" w:cs="Times New Roman"/>
                <w:sz w:val="24"/>
                <w:szCs w:val="24"/>
              </w:rPr>
            </w:pPr>
          </w:p>
        </w:tc>
      </w:tr>
      <w:tr w:rsidR="00E9220A" w:rsidRPr="00FA4313" w14:paraId="2BE02F76" w14:textId="77777777">
        <w:trPr>
          <w:trHeight w:val="290"/>
        </w:trPr>
        <w:tc>
          <w:tcPr>
            <w:tcW w:w="2538" w:type="dxa"/>
          </w:tcPr>
          <w:p w14:paraId="152B082C"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Prior Year Revenue</w:t>
            </w:r>
          </w:p>
        </w:tc>
        <w:tc>
          <w:tcPr>
            <w:tcW w:w="1206" w:type="dxa"/>
          </w:tcPr>
          <w:p w14:paraId="2EE53CE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8 163</w:t>
            </w:r>
          </w:p>
        </w:tc>
        <w:tc>
          <w:tcPr>
            <w:tcW w:w="1318" w:type="dxa"/>
          </w:tcPr>
          <w:p w14:paraId="2B5E373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8 163</w:t>
            </w:r>
          </w:p>
        </w:tc>
        <w:tc>
          <w:tcPr>
            <w:tcW w:w="1318" w:type="dxa"/>
          </w:tcPr>
          <w:p w14:paraId="587A30BF"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8 163</w:t>
            </w:r>
          </w:p>
        </w:tc>
        <w:tc>
          <w:tcPr>
            <w:tcW w:w="1318" w:type="dxa"/>
          </w:tcPr>
          <w:p w14:paraId="62ACE674"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8 163</w:t>
            </w:r>
          </w:p>
        </w:tc>
        <w:tc>
          <w:tcPr>
            <w:tcW w:w="1318" w:type="dxa"/>
          </w:tcPr>
          <w:p w14:paraId="1E11CC8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8 163</w:t>
            </w:r>
          </w:p>
        </w:tc>
      </w:tr>
      <w:tr w:rsidR="00E9220A" w:rsidRPr="00FA4313" w14:paraId="680F8369" w14:textId="77777777">
        <w:trPr>
          <w:trHeight w:val="290"/>
        </w:trPr>
        <w:tc>
          <w:tcPr>
            <w:tcW w:w="2538" w:type="dxa"/>
          </w:tcPr>
          <w:p w14:paraId="5289823B"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Estimated Volume Growth</w:t>
            </w:r>
          </w:p>
        </w:tc>
        <w:tc>
          <w:tcPr>
            <w:tcW w:w="1206" w:type="dxa"/>
          </w:tcPr>
          <w:p w14:paraId="0055EC6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5,24%</w:t>
            </w:r>
          </w:p>
        </w:tc>
        <w:tc>
          <w:tcPr>
            <w:tcW w:w="1318" w:type="dxa"/>
          </w:tcPr>
          <w:p w14:paraId="7B5ACC2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5,24%</w:t>
            </w:r>
          </w:p>
        </w:tc>
        <w:tc>
          <w:tcPr>
            <w:tcW w:w="1318" w:type="dxa"/>
          </w:tcPr>
          <w:p w14:paraId="65572932"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5,24%</w:t>
            </w:r>
          </w:p>
        </w:tc>
        <w:tc>
          <w:tcPr>
            <w:tcW w:w="1318" w:type="dxa"/>
          </w:tcPr>
          <w:p w14:paraId="5BD4456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5,24%</w:t>
            </w:r>
          </w:p>
        </w:tc>
        <w:tc>
          <w:tcPr>
            <w:tcW w:w="1318" w:type="dxa"/>
          </w:tcPr>
          <w:p w14:paraId="7977128C"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5,24%</w:t>
            </w:r>
          </w:p>
        </w:tc>
      </w:tr>
      <w:tr w:rsidR="00E9220A" w:rsidRPr="00FA4313" w14:paraId="4D04CB6F" w14:textId="77777777">
        <w:trPr>
          <w:trHeight w:val="290"/>
        </w:trPr>
        <w:tc>
          <w:tcPr>
            <w:tcW w:w="2538" w:type="dxa"/>
          </w:tcPr>
          <w:p w14:paraId="36314B68"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Revenue after Volume Growth</w:t>
            </w:r>
          </w:p>
        </w:tc>
        <w:tc>
          <w:tcPr>
            <w:tcW w:w="1206" w:type="dxa"/>
          </w:tcPr>
          <w:p w14:paraId="1C269CB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8 591</w:t>
            </w:r>
          </w:p>
        </w:tc>
        <w:tc>
          <w:tcPr>
            <w:tcW w:w="1318" w:type="dxa"/>
          </w:tcPr>
          <w:p w14:paraId="1056DA5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8 591</w:t>
            </w:r>
          </w:p>
        </w:tc>
        <w:tc>
          <w:tcPr>
            <w:tcW w:w="1318" w:type="dxa"/>
          </w:tcPr>
          <w:p w14:paraId="6F032ED8"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8 591</w:t>
            </w:r>
          </w:p>
        </w:tc>
        <w:tc>
          <w:tcPr>
            <w:tcW w:w="1318" w:type="dxa"/>
          </w:tcPr>
          <w:p w14:paraId="6828FC3E"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8 591</w:t>
            </w:r>
          </w:p>
        </w:tc>
        <w:tc>
          <w:tcPr>
            <w:tcW w:w="1318" w:type="dxa"/>
          </w:tcPr>
          <w:p w14:paraId="0761C665"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8 591</w:t>
            </w:r>
          </w:p>
        </w:tc>
      </w:tr>
      <w:tr w:rsidR="00E9220A" w:rsidRPr="00FA4313" w14:paraId="0D4E0F7A" w14:textId="77777777">
        <w:trPr>
          <w:trHeight w:val="290"/>
        </w:trPr>
        <w:tc>
          <w:tcPr>
            <w:tcW w:w="2538" w:type="dxa"/>
          </w:tcPr>
          <w:p w14:paraId="4BFD4ABF" w14:textId="77777777" w:rsidR="00E9220A" w:rsidRPr="00FA4313" w:rsidRDefault="00A656F0" w:rsidP="00FA4313">
            <w:pPr>
              <w:rPr>
                <w:rFonts w:ascii="Times New Roman" w:hAnsi="Times New Roman" w:cs="Times New Roman"/>
                <w:sz w:val="24"/>
                <w:szCs w:val="24"/>
              </w:rPr>
            </w:pPr>
            <w:r w:rsidRPr="00FA4313">
              <w:rPr>
                <w:rFonts w:ascii="Times New Roman" w:hAnsi="Times New Roman" w:cs="Times New Roman"/>
                <w:sz w:val="24"/>
                <w:szCs w:val="24"/>
              </w:rPr>
              <w:t>Revenue Required</w:t>
            </w:r>
          </w:p>
        </w:tc>
        <w:tc>
          <w:tcPr>
            <w:tcW w:w="1206" w:type="dxa"/>
          </w:tcPr>
          <w:p w14:paraId="4F297107"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10 646</w:t>
            </w:r>
          </w:p>
        </w:tc>
        <w:tc>
          <w:tcPr>
            <w:tcW w:w="1318" w:type="dxa"/>
          </w:tcPr>
          <w:p w14:paraId="03E20C1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10 194</w:t>
            </w:r>
          </w:p>
        </w:tc>
        <w:tc>
          <w:tcPr>
            <w:tcW w:w="1318" w:type="dxa"/>
          </w:tcPr>
          <w:p w14:paraId="11F75D99"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8 943</w:t>
            </w:r>
          </w:p>
        </w:tc>
        <w:tc>
          <w:tcPr>
            <w:tcW w:w="1318" w:type="dxa"/>
          </w:tcPr>
          <w:p w14:paraId="59CE7EB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8 096</w:t>
            </w:r>
          </w:p>
        </w:tc>
        <w:tc>
          <w:tcPr>
            <w:tcW w:w="1318" w:type="dxa"/>
          </w:tcPr>
          <w:p w14:paraId="61E0EF6D" w14:textId="77777777" w:rsidR="00E9220A" w:rsidRPr="00FA4313" w:rsidRDefault="00A656F0" w:rsidP="00FA4313">
            <w:pPr>
              <w:jc w:val="both"/>
              <w:rPr>
                <w:rFonts w:ascii="Times New Roman" w:hAnsi="Times New Roman" w:cs="Times New Roman"/>
                <w:sz w:val="24"/>
                <w:szCs w:val="24"/>
              </w:rPr>
            </w:pPr>
            <w:r w:rsidRPr="00FA4313">
              <w:rPr>
                <w:rFonts w:ascii="Times New Roman" w:hAnsi="Times New Roman" w:cs="Times New Roman"/>
                <w:sz w:val="24"/>
                <w:szCs w:val="24"/>
              </w:rPr>
              <w:t>6 845</w:t>
            </w:r>
          </w:p>
        </w:tc>
      </w:tr>
      <w:tr w:rsidR="00E9220A" w:rsidRPr="00FA4313" w14:paraId="30BE7937" w14:textId="77777777">
        <w:trPr>
          <w:trHeight w:val="290"/>
        </w:trPr>
        <w:tc>
          <w:tcPr>
            <w:tcW w:w="2538" w:type="dxa"/>
          </w:tcPr>
          <w:p w14:paraId="06B47DDC" w14:textId="77777777" w:rsidR="00E9220A" w:rsidRPr="00FA4313" w:rsidRDefault="00A656F0" w:rsidP="00FA4313">
            <w:pPr>
              <w:rPr>
                <w:rFonts w:ascii="Times New Roman" w:hAnsi="Times New Roman" w:cs="Times New Roman"/>
                <w:b/>
                <w:sz w:val="24"/>
                <w:szCs w:val="24"/>
              </w:rPr>
            </w:pPr>
            <w:r w:rsidRPr="00FA4313">
              <w:rPr>
                <w:rFonts w:ascii="Times New Roman" w:hAnsi="Times New Roman" w:cs="Times New Roman"/>
                <w:b/>
                <w:sz w:val="24"/>
                <w:szCs w:val="24"/>
              </w:rPr>
              <w:t>Tariff Increase</w:t>
            </w:r>
          </w:p>
        </w:tc>
        <w:tc>
          <w:tcPr>
            <w:tcW w:w="1206" w:type="dxa"/>
          </w:tcPr>
          <w:p w14:paraId="554D1FC9"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23,93%</w:t>
            </w:r>
          </w:p>
        </w:tc>
        <w:tc>
          <w:tcPr>
            <w:tcW w:w="1318" w:type="dxa"/>
          </w:tcPr>
          <w:p w14:paraId="0AC94B13"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18,66%</w:t>
            </w:r>
          </w:p>
        </w:tc>
        <w:tc>
          <w:tcPr>
            <w:tcW w:w="1318" w:type="dxa"/>
          </w:tcPr>
          <w:p w14:paraId="6751BE57"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4,10%</w:t>
            </w:r>
          </w:p>
        </w:tc>
        <w:tc>
          <w:tcPr>
            <w:tcW w:w="1318" w:type="dxa"/>
          </w:tcPr>
          <w:p w14:paraId="45FFF06A"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-5,76%</w:t>
            </w:r>
          </w:p>
        </w:tc>
        <w:tc>
          <w:tcPr>
            <w:tcW w:w="1318" w:type="dxa"/>
          </w:tcPr>
          <w:p w14:paraId="06B6E010" w14:textId="77777777" w:rsidR="00E9220A" w:rsidRPr="00FA4313" w:rsidRDefault="00A656F0" w:rsidP="00FA4313">
            <w:pPr>
              <w:jc w:val="both"/>
              <w:rPr>
                <w:rFonts w:ascii="Times New Roman" w:hAnsi="Times New Roman" w:cs="Times New Roman"/>
                <w:b/>
                <w:sz w:val="24"/>
                <w:szCs w:val="24"/>
              </w:rPr>
            </w:pPr>
            <w:r w:rsidRPr="00FA4313">
              <w:rPr>
                <w:rFonts w:ascii="Times New Roman" w:hAnsi="Times New Roman" w:cs="Times New Roman"/>
                <w:b/>
                <w:sz w:val="24"/>
                <w:szCs w:val="24"/>
              </w:rPr>
              <w:t>-20,32%</w:t>
            </w:r>
          </w:p>
        </w:tc>
      </w:tr>
    </w:tbl>
    <w:p w14:paraId="163CFDB0" w14:textId="1FBCFDA2" w:rsidR="00E9220A" w:rsidRPr="00FA4313" w:rsidRDefault="00A656F0" w:rsidP="00FA4313">
      <w:pPr>
        <w:spacing w:after="0" w:line="240" w:lineRule="auto"/>
        <w:jc w:val="both"/>
        <w:rPr>
          <w:rFonts w:ascii="Times New Roman" w:hAnsi="Times New Roman" w:cs="Times New Roman"/>
          <w:i/>
          <w:sz w:val="24"/>
          <w:szCs w:val="24"/>
        </w:rPr>
      </w:pPr>
      <w:r w:rsidRPr="00FA4313">
        <w:rPr>
          <w:rFonts w:ascii="Times New Roman" w:hAnsi="Times New Roman" w:cs="Times New Roman"/>
          <w:i/>
          <w:sz w:val="24"/>
          <w:szCs w:val="24"/>
        </w:rPr>
        <w:t xml:space="preserve">Source: Authors </w:t>
      </w:r>
      <w:r w:rsidR="00BF7C0D" w:rsidRPr="00FA4313">
        <w:rPr>
          <w:rFonts w:ascii="Times New Roman" w:hAnsi="Times New Roman" w:cs="Times New Roman"/>
          <w:i/>
          <w:sz w:val="24"/>
          <w:szCs w:val="24"/>
        </w:rPr>
        <w:t>own compilation</w:t>
      </w:r>
      <w:r w:rsidRPr="00FA4313">
        <w:rPr>
          <w:rFonts w:ascii="Times New Roman" w:hAnsi="Times New Roman" w:cs="Times New Roman"/>
          <w:i/>
          <w:sz w:val="24"/>
          <w:szCs w:val="24"/>
        </w:rPr>
        <w:t xml:space="preserve"> (RR calculation using an excel model adapted from </w:t>
      </w:r>
      <w:proofErr w:type="spellStart"/>
      <w:r w:rsidRPr="00FA4313">
        <w:rPr>
          <w:rFonts w:ascii="Times New Roman" w:hAnsi="Times New Roman" w:cs="Times New Roman"/>
          <w:i/>
          <w:sz w:val="24"/>
          <w:szCs w:val="24"/>
        </w:rPr>
        <w:t>Chasomeris</w:t>
      </w:r>
      <w:proofErr w:type="spellEnd"/>
      <w:r w:rsidRPr="00FA4313">
        <w:rPr>
          <w:rFonts w:ascii="Times New Roman" w:hAnsi="Times New Roman" w:cs="Times New Roman"/>
          <w:i/>
          <w:sz w:val="24"/>
          <w:szCs w:val="24"/>
        </w:rPr>
        <w:t xml:space="preserve"> 2015 and Gumede and </w:t>
      </w:r>
      <w:proofErr w:type="spellStart"/>
      <w:r w:rsidRPr="00FA4313">
        <w:rPr>
          <w:rFonts w:ascii="Times New Roman" w:hAnsi="Times New Roman" w:cs="Times New Roman"/>
          <w:i/>
          <w:sz w:val="24"/>
          <w:szCs w:val="24"/>
        </w:rPr>
        <w:t>Chasomeris</w:t>
      </w:r>
      <w:proofErr w:type="spellEnd"/>
      <w:r w:rsidRPr="00FA4313">
        <w:rPr>
          <w:rFonts w:ascii="Times New Roman" w:hAnsi="Times New Roman" w:cs="Times New Roman"/>
          <w:i/>
          <w:sz w:val="24"/>
          <w:szCs w:val="24"/>
        </w:rPr>
        <w:t xml:space="preserve"> 2017</w:t>
      </w:r>
      <w:r w:rsidR="00B408EF" w:rsidRPr="00FA4313">
        <w:rPr>
          <w:rFonts w:ascii="Times New Roman" w:hAnsi="Times New Roman" w:cs="Times New Roman"/>
          <w:i/>
          <w:sz w:val="24"/>
          <w:szCs w:val="24"/>
        </w:rPr>
        <w:t>)</w:t>
      </w:r>
      <w:r w:rsidRPr="00FA4313">
        <w:rPr>
          <w:rFonts w:ascii="Times New Roman" w:hAnsi="Times New Roman" w:cs="Times New Roman"/>
          <w:i/>
          <w:sz w:val="24"/>
          <w:szCs w:val="24"/>
        </w:rPr>
        <w:t>.</w:t>
      </w:r>
    </w:p>
    <w:p w14:paraId="305AFBE8" w14:textId="13ECF42C" w:rsidR="00C81362" w:rsidRPr="00FA4313" w:rsidRDefault="00C81362" w:rsidP="00FA4313">
      <w:pPr>
        <w:suppressLineNumbers/>
        <w:spacing w:after="0" w:line="240" w:lineRule="auto"/>
        <w:rPr>
          <w:rFonts w:ascii="Times New Roman" w:hAnsi="Times New Roman" w:cs="Times New Roman"/>
          <w:i/>
          <w:sz w:val="24"/>
          <w:szCs w:val="24"/>
        </w:rPr>
      </w:pPr>
      <w:r w:rsidRPr="00FA4313">
        <w:rPr>
          <w:rFonts w:ascii="Times New Roman" w:hAnsi="Times New Roman" w:cs="Times New Roman"/>
          <w:i/>
          <w:sz w:val="24"/>
          <w:szCs w:val="24"/>
        </w:rPr>
        <w:br w:type="page"/>
      </w:r>
    </w:p>
    <w:p w14:paraId="3CDD0016" w14:textId="3E59B147" w:rsidR="00BF7C0D" w:rsidRPr="00FA4313" w:rsidRDefault="00BF7C0D" w:rsidP="00FA4313">
      <w:pPr>
        <w:spacing w:after="0" w:line="240" w:lineRule="auto"/>
        <w:jc w:val="both"/>
        <w:rPr>
          <w:rFonts w:ascii="Times New Roman" w:hAnsi="Times New Roman" w:cs="Times New Roman"/>
          <w:sz w:val="24"/>
          <w:szCs w:val="24"/>
        </w:rPr>
      </w:pPr>
      <w:bookmarkStart w:id="6" w:name="_heading=h.tyjcwt" w:colFirst="0" w:colLast="0"/>
      <w:bookmarkEnd w:id="6"/>
      <w:r w:rsidRPr="00FA4313">
        <w:rPr>
          <w:rFonts w:ascii="Times New Roman" w:hAnsi="Times New Roman" w:cs="Times New Roman"/>
          <w:sz w:val="24"/>
          <w:szCs w:val="24"/>
        </w:rPr>
        <w:lastRenderedPageBreak/>
        <w:t>The calculations in Table 1 can be explained as follows:</w:t>
      </w:r>
    </w:p>
    <w:p w14:paraId="423372D7" w14:textId="77777777" w:rsidR="0029616D" w:rsidRDefault="0029616D" w:rsidP="00FA4313">
      <w:pPr>
        <w:spacing w:after="0" w:line="240" w:lineRule="auto"/>
        <w:jc w:val="both"/>
        <w:rPr>
          <w:rFonts w:ascii="Times New Roman" w:hAnsi="Times New Roman" w:cs="Times New Roman"/>
          <w:b/>
          <w:sz w:val="24"/>
          <w:szCs w:val="24"/>
        </w:rPr>
      </w:pPr>
    </w:p>
    <w:p w14:paraId="055919D9" w14:textId="5DAFF413"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b/>
          <w:sz w:val="24"/>
          <w:szCs w:val="24"/>
        </w:rPr>
        <w:t>Scenario 1</w:t>
      </w:r>
      <w:r w:rsidRPr="00FA4313">
        <w:rPr>
          <w:rFonts w:ascii="Times New Roman" w:hAnsi="Times New Roman" w:cs="Times New Roman"/>
          <w:sz w:val="24"/>
          <w:szCs w:val="24"/>
        </w:rPr>
        <w:t xml:space="preserve"> recalculates the NPA application to the PRSA </w:t>
      </w:r>
      <w:r w:rsidR="00BF7C0D" w:rsidRPr="00FA4313">
        <w:rPr>
          <w:rFonts w:ascii="Times New Roman" w:hAnsi="Times New Roman" w:cs="Times New Roman"/>
          <w:sz w:val="24"/>
          <w:szCs w:val="24"/>
        </w:rPr>
        <w:t>u</w:t>
      </w:r>
      <w:r w:rsidRPr="00FA4313">
        <w:rPr>
          <w:rFonts w:ascii="Times New Roman" w:hAnsi="Times New Roman" w:cs="Times New Roman"/>
          <w:sz w:val="24"/>
          <w:szCs w:val="24"/>
        </w:rPr>
        <w:t xml:space="preserve">sing the same variable assumptions used by the NPA application. The value of each of the variables are shown in </w:t>
      </w:r>
      <w:r w:rsidR="00BF7C0D" w:rsidRPr="00FA4313">
        <w:rPr>
          <w:rFonts w:ascii="Times New Roman" w:hAnsi="Times New Roman" w:cs="Times New Roman"/>
          <w:sz w:val="24"/>
          <w:szCs w:val="24"/>
        </w:rPr>
        <w:t>T</w:t>
      </w:r>
      <w:r w:rsidRPr="00FA4313">
        <w:rPr>
          <w:rFonts w:ascii="Times New Roman" w:hAnsi="Times New Roman" w:cs="Times New Roman"/>
          <w:sz w:val="24"/>
          <w:szCs w:val="24"/>
        </w:rPr>
        <w:t xml:space="preserve">able </w:t>
      </w:r>
      <w:r w:rsidR="00BF7C0D" w:rsidRPr="00FA4313">
        <w:rPr>
          <w:rFonts w:ascii="Times New Roman" w:hAnsi="Times New Roman" w:cs="Times New Roman"/>
          <w:sz w:val="24"/>
          <w:szCs w:val="24"/>
        </w:rPr>
        <w:t>1</w:t>
      </w:r>
      <w:r w:rsidRPr="00FA4313">
        <w:rPr>
          <w:rFonts w:ascii="Times New Roman" w:hAnsi="Times New Roman" w:cs="Times New Roman"/>
          <w:sz w:val="24"/>
          <w:szCs w:val="24"/>
        </w:rPr>
        <w:t>. It assumes the presently allowed RAB opening net book value of R78</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447 million, an asset beta of 0.35, a tax rate of 28%, and the use of the ETIMC of R1.251 million. The NPA made an application for R10</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648 million, however, our calculations in scenario 1 show a revenue required of R10 646 million, a R2 million difference. We believe the difference i</w:t>
      </w:r>
      <w:r w:rsidR="00BF7C0D" w:rsidRPr="00FA4313">
        <w:rPr>
          <w:rFonts w:ascii="Times New Roman" w:hAnsi="Times New Roman" w:cs="Times New Roman"/>
          <w:sz w:val="24"/>
          <w:szCs w:val="24"/>
        </w:rPr>
        <w:t>s</w:t>
      </w:r>
      <w:r w:rsidRPr="00FA4313">
        <w:rPr>
          <w:rFonts w:ascii="Times New Roman" w:hAnsi="Times New Roman" w:cs="Times New Roman"/>
          <w:sz w:val="24"/>
          <w:szCs w:val="24"/>
        </w:rPr>
        <w:t xml:space="preserve"> due to rounding off errors (or different assumptions about the number of decimal places to use when rounding off). Nevertheless, such a difference would result in a reduction in the tariff increase from 23.9</w:t>
      </w:r>
      <w:r w:rsidR="005F786B" w:rsidRPr="00FA4313">
        <w:rPr>
          <w:rFonts w:ascii="Times New Roman" w:hAnsi="Times New Roman" w:cs="Times New Roman"/>
          <w:sz w:val="24"/>
          <w:szCs w:val="24"/>
        </w:rPr>
        <w:t>6</w:t>
      </w:r>
      <w:r w:rsidRPr="00FA4313">
        <w:rPr>
          <w:rFonts w:ascii="Times New Roman" w:hAnsi="Times New Roman" w:cs="Times New Roman"/>
          <w:sz w:val="24"/>
          <w:szCs w:val="24"/>
        </w:rPr>
        <w:t>% to 23.9</w:t>
      </w:r>
      <w:r w:rsidR="005F786B" w:rsidRPr="00FA4313">
        <w:rPr>
          <w:rFonts w:ascii="Times New Roman" w:hAnsi="Times New Roman" w:cs="Times New Roman"/>
          <w:sz w:val="24"/>
          <w:szCs w:val="24"/>
        </w:rPr>
        <w:t>3</w:t>
      </w:r>
      <w:r w:rsidRPr="00FA4313">
        <w:rPr>
          <w:rFonts w:ascii="Times New Roman" w:hAnsi="Times New Roman" w:cs="Times New Roman"/>
          <w:sz w:val="24"/>
          <w:szCs w:val="24"/>
        </w:rPr>
        <w:t>%.</w:t>
      </w:r>
    </w:p>
    <w:p w14:paraId="602559A5" w14:textId="77777777" w:rsidR="00C81362" w:rsidRPr="00FA4313" w:rsidRDefault="00C81362" w:rsidP="00FA4313">
      <w:pPr>
        <w:spacing w:after="0" w:line="240" w:lineRule="auto"/>
        <w:jc w:val="both"/>
        <w:rPr>
          <w:rFonts w:ascii="Times New Roman" w:hAnsi="Times New Roman" w:cs="Times New Roman"/>
          <w:sz w:val="24"/>
          <w:szCs w:val="24"/>
        </w:rPr>
      </w:pPr>
    </w:p>
    <w:p w14:paraId="464142BE" w14:textId="4BE2E5BA" w:rsidR="00E9220A" w:rsidRPr="00FA4313" w:rsidRDefault="00A656F0" w:rsidP="00FA4313">
      <w:pPr>
        <w:spacing w:after="0" w:line="240" w:lineRule="auto"/>
        <w:jc w:val="both"/>
        <w:rPr>
          <w:rFonts w:ascii="Times New Roman" w:hAnsi="Times New Roman" w:cs="Times New Roman"/>
          <w:sz w:val="24"/>
          <w:szCs w:val="24"/>
        </w:rPr>
      </w:pPr>
      <w:bookmarkStart w:id="7" w:name="_heading=h.3dy6vkm" w:colFirst="0" w:colLast="0"/>
      <w:bookmarkEnd w:id="7"/>
      <w:r w:rsidRPr="00FA4313">
        <w:rPr>
          <w:rFonts w:ascii="Times New Roman" w:hAnsi="Times New Roman" w:cs="Times New Roman"/>
          <w:b/>
          <w:sz w:val="24"/>
          <w:szCs w:val="24"/>
        </w:rPr>
        <w:t>Scenario 2</w:t>
      </w:r>
      <w:r w:rsidRPr="00FA4313">
        <w:rPr>
          <w:rFonts w:ascii="Times New Roman" w:hAnsi="Times New Roman" w:cs="Times New Roman"/>
          <w:sz w:val="24"/>
          <w:szCs w:val="24"/>
        </w:rPr>
        <w:t xml:space="preserve"> assumes the presently allowed RAB of R78</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447 million, an asset beta of 0.35, an equitable tax rate of 15.5%, and no use of the ETIMC. The results show a required revenue of R10</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194 million that translates into an 18.66% increase in tariffs.</w:t>
      </w:r>
    </w:p>
    <w:p w14:paraId="5A93EEFB" w14:textId="77777777" w:rsidR="00C81362" w:rsidRPr="00FA4313" w:rsidRDefault="00C81362" w:rsidP="00FA4313">
      <w:pPr>
        <w:spacing w:after="0" w:line="240" w:lineRule="auto"/>
        <w:jc w:val="both"/>
        <w:rPr>
          <w:rFonts w:ascii="Times New Roman" w:hAnsi="Times New Roman" w:cs="Times New Roman"/>
          <w:sz w:val="24"/>
          <w:szCs w:val="24"/>
        </w:rPr>
      </w:pPr>
    </w:p>
    <w:p w14:paraId="50AA539B" w14:textId="16D452CE" w:rsidR="00E9220A" w:rsidRPr="00FA4313" w:rsidRDefault="00A656F0"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b/>
          <w:sz w:val="24"/>
          <w:szCs w:val="24"/>
        </w:rPr>
        <w:t>Scenario 3</w:t>
      </w:r>
      <w:r w:rsidRPr="00FA4313">
        <w:rPr>
          <w:rFonts w:ascii="Times New Roman" w:hAnsi="Times New Roman" w:cs="Times New Roman"/>
          <w:sz w:val="24"/>
          <w:szCs w:val="24"/>
        </w:rPr>
        <w:t xml:space="preserve"> assumes the presently allowed RAB of R78</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447 million, an asset beta of 0.35, an equitable tax rate of 15.5%, and an ETIMC of R1.251 million. The calculation results in a required revenue of R8</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943 million and a tariff increase of 4.10%.</w:t>
      </w:r>
    </w:p>
    <w:p w14:paraId="6A7955F1" w14:textId="77777777" w:rsidR="00C81362" w:rsidRPr="00FA4313" w:rsidRDefault="00C81362" w:rsidP="00FA4313">
      <w:pPr>
        <w:spacing w:after="0" w:line="240" w:lineRule="auto"/>
        <w:jc w:val="both"/>
        <w:rPr>
          <w:rFonts w:ascii="Times New Roman" w:hAnsi="Times New Roman" w:cs="Times New Roman"/>
          <w:sz w:val="24"/>
          <w:szCs w:val="24"/>
        </w:rPr>
      </w:pPr>
    </w:p>
    <w:p w14:paraId="31564052" w14:textId="77777777" w:rsidR="00E9220A" w:rsidRPr="00FA4313" w:rsidRDefault="00A656F0" w:rsidP="00FA4313">
      <w:pPr>
        <w:spacing w:after="0" w:line="240" w:lineRule="auto"/>
        <w:jc w:val="both"/>
        <w:rPr>
          <w:rFonts w:ascii="Times New Roman" w:hAnsi="Times New Roman" w:cs="Times New Roman"/>
          <w:sz w:val="24"/>
          <w:szCs w:val="24"/>
        </w:rPr>
      </w:pPr>
      <w:bookmarkStart w:id="8" w:name="_heading=h.1t3h5sf" w:colFirst="0" w:colLast="0"/>
      <w:bookmarkEnd w:id="8"/>
      <w:r w:rsidRPr="00FA4313">
        <w:rPr>
          <w:rFonts w:ascii="Times New Roman" w:hAnsi="Times New Roman" w:cs="Times New Roman"/>
          <w:b/>
          <w:sz w:val="24"/>
          <w:szCs w:val="24"/>
        </w:rPr>
        <w:t>Scenario 4</w:t>
      </w:r>
      <w:r w:rsidRPr="00FA4313">
        <w:rPr>
          <w:rFonts w:ascii="Times New Roman" w:hAnsi="Times New Roman" w:cs="Times New Roman"/>
          <w:sz w:val="24"/>
          <w:szCs w:val="24"/>
        </w:rPr>
        <w:t xml:space="preserve"> assumes that the presently allowed RAB is reduced by R29 billion, that is, the opening RAB is assumed to be R49</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447 million. The equitable tax rate of 15.5% is assumed and the asset beta is assumed to be zero. The calculation assumes that there is no use of the ETIMC. The results show a required revenue of R8</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096 million and a tariff decrease of 5.76%.</w:t>
      </w:r>
    </w:p>
    <w:p w14:paraId="54EE498D" w14:textId="77777777" w:rsidR="00E9220A" w:rsidRPr="00FA4313" w:rsidRDefault="00A656F0" w:rsidP="00FA4313">
      <w:pPr>
        <w:spacing w:after="0" w:line="240" w:lineRule="auto"/>
        <w:jc w:val="both"/>
        <w:rPr>
          <w:rFonts w:ascii="Times New Roman" w:hAnsi="Times New Roman" w:cs="Times New Roman"/>
          <w:sz w:val="24"/>
          <w:szCs w:val="24"/>
        </w:rPr>
      </w:pPr>
      <w:bookmarkStart w:id="9" w:name="_heading=h.4d34og8" w:colFirst="0" w:colLast="0"/>
      <w:bookmarkEnd w:id="9"/>
      <w:r w:rsidRPr="00FA4313">
        <w:rPr>
          <w:rFonts w:ascii="Times New Roman" w:hAnsi="Times New Roman" w:cs="Times New Roman"/>
          <w:b/>
          <w:sz w:val="24"/>
          <w:szCs w:val="24"/>
        </w:rPr>
        <w:t>Scenario 5</w:t>
      </w:r>
      <w:r w:rsidRPr="00FA4313">
        <w:rPr>
          <w:rFonts w:ascii="Times New Roman" w:hAnsi="Times New Roman" w:cs="Times New Roman"/>
          <w:sz w:val="24"/>
          <w:szCs w:val="24"/>
        </w:rPr>
        <w:t xml:space="preserve"> </w:t>
      </w:r>
      <w:bookmarkStart w:id="10" w:name="_Hlk96351565"/>
      <w:r w:rsidRPr="00FA4313">
        <w:rPr>
          <w:rFonts w:ascii="Times New Roman" w:hAnsi="Times New Roman" w:cs="Times New Roman"/>
          <w:sz w:val="24"/>
          <w:szCs w:val="24"/>
        </w:rPr>
        <w:t>assumes that the presently allowed RAB is reduced by R29 billion, that is, the opening RAB is assumed to be R49</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447 million. The equitable tax rate of 15.5% is assumed and the asset beta is assumed to be zero. In addition, the ETIMC of R1.251 is assumed to be allowed. The results show a required revenue of R6</w:t>
      </w:r>
      <w:r w:rsidR="00BF7C0D" w:rsidRPr="00FA4313">
        <w:rPr>
          <w:rFonts w:ascii="Times New Roman" w:hAnsi="Times New Roman" w:cs="Times New Roman"/>
          <w:sz w:val="24"/>
          <w:szCs w:val="24"/>
        </w:rPr>
        <w:t xml:space="preserve"> </w:t>
      </w:r>
      <w:r w:rsidRPr="00FA4313">
        <w:rPr>
          <w:rFonts w:ascii="Times New Roman" w:hAnsi="Times New Roman" w:cs="Times New Roman"/>
          <w:sz w:val="24"/>
          <w:szCs w:val="24"/>
        </w:rPr>
        <w:t>845 million and a tariff decrease of 20.32%.</w:t>
      </w:r>
      <w:bookmarkEnd w:id="10"/>
    </w:p>
    <w:p w14:paraId="5488962A" w14:textId="03A5B75A" w:rsidR="00FB75A7" w:rsidRPr="00FA4313" w:rsidRDefault="0043560B"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The results from the five scenarios</w:t>
      </w:r>
      <w:r w:rsidR="00BF7C0D" w:rsidRPr="00FA4313">
        <w:rPr>
          <w:rFonts w:ascii="Times New Roman" w:hAnsi="Times New Roman" w:cs="Times New Roman"/>
          <w:sz w:val="24"/>
          <w:szCs w:val="24"/>
        </w:rPr>
        <w:t xml:space="preserve"> show</w:t>
      </w:r>
      <w:r w:rsidR="005B2723" w:rsidRPr="00FA4313">
        <w:rPr>
          <w:rFonts w:ascii="Times New Roman" w:hAnsi="Times New Roman" w:cs="Times New Roman"/>
          <w:sz w:val="24"/>
          <w:szCs w:val="24"/>
        </w:rPr>
        <w:t xml:space="preserve"> </w:t>
      </w:r>
      <w:r w:rsidRPr="00FA4313">
        <w:rPr>
          <w:rFonts w:ascii="Times New Roman" w:hAnsi="Times New Roman" w:cs="Times New Roman"/>
          <w:sz w:val="24"/>
          <w:szCs w:val="24"/>
        </w:rPr>
        <w:t xml:space="preserve">the potential reduction in NPA tariffs. </w:t>
      </w:r>
      <w:r w:rsidR="00FB75A7" w:rsidRPr="00FA4313">
        <w:rPr>
          <w:rFonts w:ascii="Times New Roman" w:hAnsi="Times New Roman" w:cs="Times New Roman"/>
          <w:sz w:val="24"/>
          <w:szCs w:val="24"/>
        </w:rPr>
        <w:t>The</w:t>
      </w:r>
      <w:r w:rsidRPr="00FA4313">
        <w:rPr>
          <w:rFonts w:ascii="Times New Roman" w:hAnsi="Times New Roman" w:cs="Times New Roman"/>
          <w:sz w:val="24"/>
          <w:szCs w:val="24"/>
        </w:rPr>
        <w:t xml:space="preserve"> scenarios show the</w:t>
      </w:r>
      <w:r w:rsidR="00B23787" w:rsidRPr="00FA4313">
        <w:rPr>
          <w:rFonts w:ascii="Times New Roman" w:hAnsi="Times New Roman" w:cs="Times New Roman"/>
          <w:sz w:val="24"/>
          <w:szCs w:val="24"/>
        </w:rPr>
        <w:t xml:space="preserve"> results of </w:t>
      </w:r>
      <w:r w:rsidRPr="00FA4313">
        <w:rPr>
          <w:rFonts w:ascii="Times New Roman" w:hAnsi="Times New Roman" w:cs="Times New Roman"/>
          <w:sz w:val="24"/>
          <w:szCs w:val="24"/>
        </w:rPr>
        <w:t xml:space="preserve">justifiable adjustments in the RR model variable assumptions and values that, </w:t>
      </w:r>
      <w:r w:rsidR="00B23787" w:rsidRPr="00FA4313">
        <w:rPr>
          <w:rFonts w:ascii="Times New Roman" w:hAnsi="Times New Roman" w:cs="Times New Roman"/>
          <w:sz w:val="24"/>
          <w:szCs w:val="24"/>
        </w:rPr>
        <w:t xml:space="preserve">for example </w:t>
      </w:r>
      <w:r w:rsidRPr="00FA4313">
        <w:rPr>
          <w:rFonts w:ascii="Times New Roman" w:hAnsi="Times New Roman" w:cs="Times New Roman"/>
          <w:sz w:val="24"/>
          <w:szCs w:val="24"/>
        </w:rPr>
        <w:t>in the case of scenario 5,</w:t>
      </w:r>
      <w:r w:rsidR="00BF7C0D" w:rsidRPr="00FA4313">
        <w:rPr>
          <w:rFonts w:ascii="Times New Roman" w:hAnsi="Times New Roman" w:cs="Times New Roman"/>
          <w:sz w:val="24"/>
          <w:szCs w:val="24"/>
        </w:rPr>
        <w:t xml:space="preserve"> could lead to</w:t>
      </w:r>
      <w:r w:rsidRPr="00FA4313">
        <w:rPr>
          <w:rFonts w:ascii="Times New Roman" w:hAnsi="Times New Roman" w:cs="Times New Roman"/>
          <w:sz w:val="24"/>
          <w:szCs w:val="24"/>
        </w:rPr>
        <w:t xml:space="preserve"> a </w:t>
      </w:r>
      <w:r w:rsidR="00B23787" w:rsidRPr="00FA4313">
        <w:rPr>
          <w:rFonts w:ascii="Times New Roman" w:hAnsi="Times New Roman" w:cs="Times New Roman"/>
          <w:sz w:val="24"/>
          <w:szCs w:val="24"/>
        </w:rPr>
        <w:t xml:space="preserve">weighted average tariff decrease of 20.32%. </w:t>
      </w:r>
      <w:r w:rsidRPr="00FA4313">
        <w:rPr>
          <w:rFonts w:ascii="Times New Roman" w:hAnsi="Times New Roman" w:cs="Times New Roman"/>
          <w:sz w:val="24"/>
          <w:szCs w:val="24"/>
        </w:rPr>
        <w:t xml:space="preserve"> </w:t>
      </w:r>
    </w:p>
    <w:p w14:paraId="16F5B156" w14:textId="77777777" w:rsidR="00FB75A7" w:rsidRPr="00FA4313" w:rsidRDefault="0041277E"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The PRSA</w:t>
      </w:r>
      <w:r w:rsidR="00FB75A7" w:rsidRPr="00FA4313">
        <w:rPr>
          <w:rFonts w:ascii="Times New Roman" w:hAnsi="Times New Roman" w:cs="Times New Roman"/>
          <w:sz w:val="24"/>
          <w:szCs w:val="24"/>
        </w:rPr>
        <w:t xml:space="preserve"> Record of Decision (PRSA, 2021</w:t>
      </w:r>
      <w:r w:rsidR="00A25DD3" w:rsidRPr="00FA4313">
        <w:rPr>
          <w:rFonts w:ascii="Times New Roman" w:hAnsi="Times New Roman" w:cs="Times New Roman"/>
          <w:sz w:val="24"/>
          <w:szCs w:val="24"/>
        </w:rPr>
        <w:t>b</w:t>
      </w:r>
      <w:r w:rsidR="00FB75A7" w:rsidRPr="00FA4313">
        <w:rPr>
          <w:rFonts w:ascii="Times New Roman" w:hAnsi="Times New Roman" w:cs="Times New Roman"/>
          <w:sz w:val="24"/>
          <w:szCs w:val="24"/>
        </w:rPr>
        <w:t xml:space="preserve">) ultimately decided to allow an overall 4.8% weighted average </w:t>
      </w:r>
      <w:r w:rsidR="00857270" w:rsidRPr="00FA4313">
        <w:rPr>
          <w:rFonts w:ascii="Times New Roman" w:hAnsi="Times New Roman" w:cs="Times New Roman"/>
          <w:sz w:val="24"/>
          <w:szCs w:val="24"/>
        </w:rPr>
        <w:t xml:space="preserve">tariff </w:t>
      </w:r>
      <w:r w:rsidR="00FB75A7" w:rsidRPr="00FA4313">
        <w:rPr>
          <w:rFonts w:ascii="Times New Roman" w:hAnsi="Times New Roman" w:cs="Times New Roman"/>
          <w:sz w:val="24"/>
          <w:szCs w:val="24"/>
        </w:rPr>
        <w:t>increase</w:t>
      </w:r>
      <w:r w:rsidR="00186A66" w:rsidRPr="00FA4313">
        <w:rPr>
          <w:rFonts w:ascii="Times New Roman" w:hAnsi="Times New Roman" w:cs="Times New Roman"/>
          <w:sz w:val="24"/>
          <w:szCs w:val="24"/>
        </w:rPr>
        <w:t xml:space="preserve"> for 2022/23</w:t>
      </w:r>
      <w:r w:rsidR="00FB75A7" w:rsidRPr="00FA4313">
        <w:rPr>
          <w:rFonts w:ascii="Times New Roman" w:hAnsi="Times New Roman" w:cs="Times New Roman"/>
          <w:sz w:val="24"/>
          <w:szCs w:val="24"/>
        </w:rPr>
        <w:t xml:space="preserve">. </w:t>
      </w:r>
      <w:r w:rsidR="00BF7C0D" w:rsidRPr="00FA4313">
        <w:rPr>
          <w:rFonts w:ascii="Times New Roman" w:hAnsi="Times New Roman" w:cs="Times New Roman"/>
          <w:sz w:val="24"/>
          <w:szCs w:val="24"/>
        </w:rPr>
        <w:t xml:space="preserve">This </w:t>
      </w:r>
      <w:r w:rsidR="00FB75A7" w:rsidRPr="00FA4313">
        <w:rPr>
          <w:rFonts w:ascii="Times New Roman" w:hAnsi="Times New Roman" w:cs="Times New Roman"/>
          <w:sz w:val="24"/>
          <w:szCs w:val="24"/>
        </w:rPr>
        <w:t>translates into marine services (shipping line) increases of 12%</w:t>
      </w:r>
      <w:r w:rsidR="00AB2AFE" w:rsidRPr="00FA4313">
        <w:rPr>
          <w:rFonts w:ascii="Times New Roman" w:hAnsi="Times New Roman" w:cs="Times New Roman"/>
          <w:sz w:val="24"/>
          <w:szCs w:val="24"/>
        </w:rPr>
        <w:t xml:space="preserve">, an increase in </w:t>
      </w:r>
      <w:r w:rsidR="00FB75A7" w:rsidRPr="00FA4313">
        <w:rPr>
          <w:rFonts w:ascii="Times New Roman" w:hAnsi="Times New Roman" w:cs="Times New Roman"/>
          <w:sz w:val="24"/>
          <w:szCs w:val="24"/>
        </w:rPr>
        <w:t xml:space="preserve">dry bulk </w:t>
      </w:r>
      <w:r w:rsidR="00AB2AFE" w:rsidRPr="00FA4313">
        <w:rPr>
          <w:rFonts w:ascii="Times New Roman" w:hAnsi="Times New Roman" w:cs="Times New Roman"/>
          <w:sz w:val="24"/>
          <w:szCs w:val="24"/>
        </w:rPr>
        <w:t xml:space="preserve">cargo dues for </w:t>
      </w:r>
      <w:r w:rsidR="00FB75A7" w:rsidRPr="00FA4313">
        <w:rPr>
          <w:rFonts w:ascii="Times New Roman" w:hAnsi="Times New Roman" w:cs="Times New Roman"/>
          <w:sz w:val="24"/>
          <w:szCs w:val="24"/>
        </w:rPr>
        <w:t>coal of 11%</w:t>
      </w:r>
      <w:r w:rsidR="00AB2AFE" w:rsidRPr="00FA4313">
        <w:rPr>
          <w:rFonts w:ascii="Times New Roman" w:hAnsi="Times New Roman" w:cs="Times New Roman"/>
          <w:sz w:val="24"/>
          <w:szCs w:val="24"/>
        </w:rPr>
        <w:t xml:space="preserve"> and ma</w:t>
      </w:r>
      <w:r w:rsidR="00F2509E" w:rsidRPr="00FA4313">
        <w:rPr>
          <w:rFonts w:ascii="Times New Roman" w:hAnsi="Times New Roman" w:cs="Times New Roman"/>
          <w:sz w:val="24"/>
          <w:szCs w:val="24"/>
        </w:rPr>
        <w:t xml:space="preserve">gnetite of 15%, </w:t>
      </w:r>
      <w:r w:rsidR="00FB75A7" w:rsidRPr="00FA4313">
        <w:rPr>
          <w:rFonts w:ascii="Times New Roman" w:hAnsi="Times New Roman" w:cs="Times New Roman"/>
          <w:sz w:val="24"/>
          <w:szCs w:val="24"/>
        </w:rPr>
        <w:t>but container cargo dues are to remain unchanged and all other tariff</w:t>
      </w:r>
      <w:r w:rsidR="00B34F27" w:rsidRPr="00FA4313">
        <w:rPr>
          <w:rFonts w:ascii="Times New Roman" w:hAnsi="Times New Roman" w:cs="Times New Roman"/>
          <w:sz w:val="24"/>
          <w:szCs w:val="24"/>
        </w:rPr>
        <w:t>s</w:t>
      </w:r>
      <w:r w:rsidR="00FB75A7" w:rsidRPr="00FA4313">
        <w:rPr>
          <w:rFonts w:ascii="Times New Roman" w:hAnsi="Times New Roman" w:cs="Times New Roman"/>
          <w:sz w:val="24"/>
          <w:szCs w:val="24"/>
        </w:rPr>
        <w:t xml:space="preserve"> are to increase by 4.2% in line with the expected inflation. </w:t>
      </w:r>
      <w:r w:rsidR="00BC676B" w:rsidRPr="00FA4313">
        <w:rPr>
          <w:rFonts w:ascii="Times New Roman" w:hAnsi="Times New Roman" w:cs="Times New Roman"/>
          <w:sz w:val="24"/>
          <w:szCs w:val="24"/>
        </w:rPr>
        <w:t>To achieve such a tariff adjustment</w:t>
      </w:r>
      <w:r w:rsidR="006C1670" w:rsidRPr="00FA4313">
        <w:rPr>
          <w:rFonts w:ascii="Times New Roman" w:hAnsi="Times New Roman" w:cs="Times New Roman"/>
          <w:sz w:val="24"/>
          <w:szCs w:val="24"/>
        </w:rPr>
        <w:t xml:space="preserve">, that is lower than the NPA requested, </w:t>
      </w:r>
      <w:r w:rsidR="00BC676B" w:rsidRPr="00FA4313">
        <w:rPr>
          <w:rFonts w:ascii="Times New Roman" w:hAnsi="Times New Roman" w:cs="Times New Roman"/>
          <w:sz w:val="24"/>
          <w:szCs w:val="24"/>
        </w:rPr>
        <w:t>t</w:t>
      </w:r>
      <w:r w:rsidR="00FB75A7" w:rsidRPr="00FA4313">
        <w:rPr>
          <w:rFonts w:ascii="Times New Roman" w:hAnsi="Times New Roman" w:cs="Times New Roman"/>
          <w:sz w:val="24"/>
          <w:szCs w:val="24"/>
        </w:rPr>
        <w:t xml:space="preserve">he PRSA are allowing </w:t>
      </w:r>
      <w:r w:rsidR="00BC676B" w:rsidRPr="00FA4313">
        <w:rPr>
          <w:rFonts w:ascii="Times New Roman" w:hAnsi="Times New Roman" w:cs="Times New Roman"/>
          <w:sz w:val="24"/>
          <w:szCs w:val="24"/>
        </w:rPr>
        <w:t xml:space="preserve">ZAR1.188 billion to be drawn from the </w:t>
      </w:r>
      <w:r w:rsidR="00FB75A7" w:rsidRPr="00FA4313">
        <w:rPr>
          <w:rFonts w:ascii="Times New Roman" w:hAnsi="Times New Roman" w:cs="Times New Roman"/>
          <w:sz w:val="24"/>
          <w:szCs w:val="24"/>
        </w:rPr>
        <w:t>ETIMC</w:t>
      </w:r>
      <w:r w:rsidR="00BC676B" w:rsidRPr="00FA4313">
        <w:rPr>
          <w:rFonts w:ascii="Times New Roman" w:hAnsi="Times New Roman" w:cs="Times New Roman"/>
          <w:sz w:val="24"/>
          <w:szCs w:val="24"/>
        </w:rPr>
        <w:t xml:space="preserve">. </w:t>
      </w:r>
      <w:r w:rsidR="00FB75A7" w:rsidRPr="00FA4313">
        <w:rPr>
          <w:rFonts w:ascii="Times New Roman" w:hAnsi="Times New Roman" w:cs="Times New Roman"/>
          <w:sz w:val="24"/>
          <w:szCs w:val="24"/>
        </w:rPr>
        <w:t>PRSA are treating the NPA as a subsidiary (even though they are not yet a subsidiary) and they are hoping that the NPA becomes a subsidiary within the 2022/23 year. Consequently, PRSA is allowing the use of a 28% tax rate as opposed to the equitable tax rate of just over 15%.</w:t>
      </w:r>
      <w:r w:rsidR="001856EC" w:rsidRPr="00FA4313">
        <w:rPr>
          <w:rFonts w:ascii="Times New Roman" w:hAnsi="Times New Roman" w:cs="Times New Roman"/>
          <w:sz w:val="24"/>
          <w:szCs w:val="24"/>
        </w:rPr>
        <w:t xml:space="preserve"> </w:t>
      </w:r>
      <w:r w:rsidR="00E614C6" w:rsidRPr="00FA4313">
        <w:rPr>
          <w:rFonts w:ascii="Times New Roman" w:hAnsi="Times New Roman" w:cs="Times New Roman"/>
          <w:sz w:val="24"/>
          <w:szCs w:val="24"/>
        </w:rPr>
        <w:t>Our recommendation is that</w:t>
      </w:r>
      <w:r w:rsidR="00FB75A7" w:rsidRPr="00FA4313">
        <w:rPr>
          <w:rFonts w:ascii="Times New Roman" w:hAnsi="Times New Roman" w:cs="Times New Roman"/>
          <w:sz w:val="24"/>
          <w:szCs w:val="24"/>
        </w:rPr>
        <w:t xml:space="preserve"> the NPA should </w:t>
      </w:r>
      <w:r w:rsidR="00E614C6" w:rsidRPr="00FA4313">
        <w:rPr>
          <w:rFonts w:ascii="Times New Roman" w:hAnsi="Times New Roman" w:cs="Times New Roman"/>
          <w:sz w:val="24"/>
          <w:szCs w:val="24"/>
        </w:rPr>
        <w:t xml:space="preserve">not </w:t>
      </w:r>
      <w:r w:rsidR="00FB75A7" w:rsidRPr="00FA4313">
        <w:rPr>
          <w:rFonts w:ascii="Times New Roman" w:hAnsi="Times New Roman" w:cs="Times New Roman"/>
          <w:sz w:val="24"/>
          <w:szCs w:val="24"/>
        </w:rPr>
        <w:t xml:space="preserve">be treated as a subsidiary of Transnet </w:t>
      </w:r>
      <w:r w:rsidR="007A2DF1" w:rsidRPr="00FA4313">
        <w:rPr>
          <w:rFonts w:ascii="Times New Roman" w:hAnsi="Times New Roman" w:cs="Times New Roman"/>
          <w:sz w:val="24"/>
          <w:szCs w:val="24"/>
        </w:rPr>
        <w:t xml:space="preserve">until it actually becomes a subsidiary. </w:t>
      </w:r>
      <w:r w:rsidR="00982630" w:rsidRPr="00FA4313">
        <w:rPr>
          <w:rFonts w:ascii="Times New Roman" w:hAnsi="Times New Roman" w:cs="Times New Roman"/>
          <w:sz w:val="24"/>
          <w:szCs w:val="24"/>
        </w:rPr>
        <w:t>I</w:t>
      </w:r>
      <w:r w:rsidR="006432EC" w:rsidRPr="00FA4313">
        <w:rPr>
          <w:rFonts w:ascii="Times New Roman" w:hAnsi="Times New Roman" w:cs="Times New Roman"/>
          <w:sz w:val="24"/>
          <w:szCs w:val="24"/>
        </w:rPr>
        <w:t>f</w:t>
      </w:r>
      <w:r w:rsidR="00FB75A7" w:rsidRPr="00FA4313">
        <w:rPr>
          <w:rFonts w:ascii="Times New Roman" w:hAnsi="Times New Roman" w:cs="Times New Roman"/>
          <w:sz w:val="24"/>
          <w:szCs w:val="24"/>
        </w:rPr>
        <w:t xml:space="preserve"> at some stage during </w:t>
      </w:r>
      <w:r w:rsidR="00E614C6" w:rsidRPr="00FA4313">
        <w:rPr>
          <w:rFonts w:ascii="Times New Roman" w:hAnsi="Times New Roman" w:cs="Times New Roman"/>
          <w:sz w:val="24"/>
          <w:szCs w:val="24"/>
        </w:rPr>
        <w:t>2022</w:t>
      </w:r>
      <w:r w:rsidR="00FB75A7" w:rsidRPr="00FA4313">
        <w:rPr>
          <w:rFonts w:ascii="Times New Roman" w:hAnsi="Times New Roman" w:cs="Times New Roman"/>
          <w:sz w:val="24"/>
          <w:szCs w:val="24"/>
        </w:rPr>
        <w:t xml:space="preserve"> </w:t>
      </w:r>
      <w:r w:rsidR="00CB0367" w:rsidRPr="00FA4313">
        <w:rPr>
          <w:rFonts w:ascii="Times New Roman" w:hAnsi="Times New Roman" w:cs="Times New Roman"/>
          <w:sz w:val="24"/>
          <w:szCs w:val="24"/>
        </w:rPr>
        <w:t xml:space="preserve">it </w:t>
      </w:r>
      <w:r w:rsidR="00E614C6" w:rsidRPr="00FA4313">
        <w:rPr>
          <w:rFonts w:ascii="Times New Roman" w:hAnsi="Times New Roman" w:cs="Times New Roman"/>
          <w:sz w:val="24"/>
          <w:szCs w:val="24"/>
        </w:rPr>
        <w:t xml:space="preserve">does </w:t>
      </w:r>
      <w:r w:rsidR="00FB75A7" w:rsidRPr="00FA4313">
        <w:rPr>
          <w:rFonts w:ascii="Times New Roman" w:hAnsi="Times New Roman" w:cs="Times New Roman"/>
          <w:sz w:val="24"/>
          <w:szCs w:val="24"/>
        </w:rPr>
        <w:t xml:space="preserve">become </w:t>
      </w:r>
      <w:r w:rsidR="00FD3B49" w:rsidRPr="00FA4313">
        <w:rPr>
          <w:rFonts w:ascii="Times New Roman" w:hAnsi="Times New Roman" w:cs="Times New Roman"/>
          <w:sz w:val="24"/>
          <w:szCs w:val="24"/>
        </w:rPr>
        <w:t>a</w:t>
      </w:r>
      <w:r w:rsidR="00FB75A7" w:rsidRPr="00FA4313">
        <w:rPr>
          <w:rFonts w:ascii="Times New Roman" w:hAnsi="Times New Roman" w:cs="Times New Roman"/>
          <w:sz w:val="24"/>
          <w:szCs w:val="24"/>
        </w:rPr>
        <w:t xml:space="preserve"> subsidiary, then for th</w:t>
      </w:r>
      <w:r w:rsidR="00FD3B49" w:rsidRPr="00FA4313">
        <w:rPr>
          <w:rFonts w:ascii="Times New Roman" w:hAnsi="Times New Roman" w:cs="Times New Roman"/>
          <w:sz w:val="24"/>
          <w:szCs w:val="24"/>
        </w:rPr>
        <w:t>ose</w:t>
      </w:r>
      <w:r w:rsidR="00FB75A7" w:rsidRPr="00FA4313">
        <w:rPr>
          <w:rFonts w:ascii="Times New Roman" w:hAnsi="Times New Roman" w:cs="Times New Roman"/>
          <w:sz w:val="24"/>
          <w:szCs w:val="24"/>
        </w:rPr>
        <w:t xml:space="preserve"> </w:t>
      </w:r>
      <w:r w:rsidR="00FD3B49" w:rsidRPr="00FA4313">
        <w:rPr>
          <w:rFonts w:ascii="Times New Roman" w:hAnsi="Times New Roman" w:cs="Times New Roman"/>
          <w:sz w:val="24"/>
          <w:szCs w:val="24"/>
        </w:rPr>
        <w:t xml:space="preserve">months of the year </w:t>
      </w:r>
      <w:r w:rsidR="00FB75A7" w:rsidRPr="00FA4313">
        <w:rPr>
          <w:rFonts w:ascii="Times New Roman" w:hAnsi="Times New Roman" w:cs="Times New Roman"/>
          <w:sz w:val="24"/>
          <w:szCs w:val="24"/>
        </w:rPr>
        <w:t xml:space="preserve">the 28% tax rate </w:t>
      </w:r>
      <w:r w:rsidR="00CB0367" w:rsidRPr="00FA4313">
        <w:rPr>
          <w:rFonts w:ascii="Times New Roman" w:hAnsi="Times New Roman" w:cs="Times New Roman"/>
          <w:sz w:val="24"/>
          <w:szCs w:val="24"/>
        </w:rPr>
        <w:t xml:space="preserve">could </w:t>
      </w:r>
      <w:r w:rsidR="00FB75A7" w:rsidRPr="00FA4313">
        <w:rPr>
          <w:rFonts w:ascii="Times New Roman" w:hAnsi="Times New Roman" w:cs="Times New Roman"/>
          <w:sz w:val="24"/>
          <w:szCs w:val="24"/>
        </w:rPr>
        <w:t>be applied</w:t>
      </w:r>
      <w:r w:rsidR="00FD3B49" w:rsidRPr="00FA4313">
        <w:rPr>
          <w:rFonts w:ascii="Times New Roman" w:hAnsi="Times New Roman" w:cs="Times New Roman"/>
          <w:sz w:val="24"/>
          <w:szCs w:val="24"/>
        </w:rPr>
        <w:t>.</w:t>
      </w:r>
      <w:r w:rsidR="00FB75A7" w:rsidRPr="00FA4313">
        <w:rPr>
          <w:rFonts w:ascii="Times New Roman" w:hAnsi="Times New Roman" w:cs="Times New Roman"/>
          <w:sz w:val="24"/>
          <w:szCs w:val="24"/>
        </w:rPr>
        <w:t xml:space="preserve"> For the months that it remains a division</w:t>
      </w:r>
      <w:r w:rsidR="00E614C6" w:rsidRPr="00FA4313">
        <w:rPr>
          <w:rFonts w:ascii="Times New Roman" w:hAnsi="Times New Roman" w:cs="Times New Roman"/>
          <w:sz w:val="24"/>
          <w:szCs w:val="24"/>
        </w:rPr>
        <w:t>,</w:t>
      </w:r>
      <w:r w:rsidR="00FB75A7" w:rsidRPr="00FA4313">
        <w:rPr>
          <w:rFonts w:ascii="Times New Roman" w:hAnsi="Times New Roman" w:cs="Times New Roman"/>
          <w:sz w:val="24"/>
          <w:szCs w:val="24"/>
        </w:rPr>
        <w:t xml:space="preserve"> it should be </w:t>
      </w:r>
      <w:r w:rsidR="0043376B" w:rsidRPr="00FA4313">
        <w:rPr>
          <w:rFonts w:ascii="Times New Roman" w:hAnsi="Times New Roman" w:cs="Times New Roman"/>
          <w:sz w:val="24"/>
          <w:szCs w:val="24"/>
        </w:rPr>
        <w:t>treated</w:t>
      </w:r>
      <w:r w:rsidR="00FB75A7" w:rsidRPr="00FA4313">
        <w:rPr>
          <w:rFonts w:ascii="Times New Roman" w:hAnsi="Times New Roman" w:cs="Times New Roman"/>
          <w:sz w:val="24"/>
          <w:szCs w:val="24"/>
        </w:rPr>
        <w:t xml:space="preserve"> as such and port users only required to contribute revenues to </w:t>
      </w:r>
      <w:r w:rsidR="0043376B" w:rsidRPr="00FA4313">
        <w:rPr>
          <w:rFonts w:ascii="Times New Roman" w:hAnsi="Times New Roman" w:cs="Times New Roman"/>
          <w:sz w:val="24"/>
          <w:szCs w:val="24"/>
        </w:rPr>
        <w:t>cover</w:t>
      </w:r>
      <w:r w:rsidR="00FB75A7" w:rsidRPr="00FA4313">
        <w:rPr>
          <w:rFonts w:ascii="Times New Roman" w:hAnsi="Times New Roman" w:cs="Times New Roman"/>
          <w:sz w:val="24"/>
          <w:szCs w:val="24"/>
        </w:rPr>
        <w:t xml:space="preserve"> the equitable tax rate of just over 15%.  Otherwise, port users will be paying higher </w:t>
      </w:r>
      <w:r w:rsidR="00B34F27" w:rsidRPr="00FA4313">
        <w:rPr>
          <w:rFonts w:ascii="Times New Roman" w:hAnsi="Times New Roman" w:cs="Times New Roman"/>
          <w:sz w:val="24"/>
          <w:szCs w:val="24"/>
        </w:rPr>
        <w:t xml:space="preserve">taxes and </w:t>
      </w:r>
      <w:r w:rsidR="008E7EFA" w:rsidRPr="00FA4313">
        <w:rPr>
          <w:rFonts w:ascii="Times New Roman" w:hAnsi="Times New Roman" w:cs="Times New Roman"/>
          <w:sz w:val="24"/>
          <w:szCs w:val="24"/>
        </w:rPr>
        <w:t xml:space="preserve">our results show </w:t>
      </w:r>
      <w:r w:rsidR="00B34F27" w:rsidRPr="00FA4313">
        <w:rPr>
          <w:rFonts w:ascii="Times New Roman" w:hAnsi="Times New Roman" w:cs="Times New Roman"/>
          <w:sz w:val="24"/>
          <w:szCs w:val="24"/>
        </w:rPr>
        <w:t xml:space="preserve">such </w:t>
      </w:r>
      <w:r w:rsidR="00F071B0" w:rsidRPr="00FA4313">
        <w:rPr>
          <w:rFonts w:ascii="Times New Roman" w:hAnsi="Times New Roman" w:cs="Times New Roman"/>
          <w:sz w:val="24"/>
          <w:szCs w:val="24"/>
        </w:rPr>
        <w:t xml:space="preserve">additional </w:t>
      </w:r>
      <w:r w:rsidR="00340025" w:rsidRPr="00FA4313">
        <w:rPr>
          <w:rFonts w:ascii="Times New Roman" w:hAnsi="Times New Roman" w:cs="Times New Roman"/>
          <w:sz w:val="24"/>
          <w:szCs w:val="24"/>
        </w:rPr>
        <w:t xml:space="preserve">costs </w:t>
      </w:r>
      <w:r w:rsidR="00B34F27" w:rsidRPr="00FA4313">
        <w:rPr>
          <w:rFonts w:ascii="Times New Roman" w:hAnsi="Times New Roman" w:cs="Times New Roman"/>
          <w:sz w:val="24"/>
          <w:szCs w:val="24"/>
        </w:rPr>
        <w:t xml:space="preserve">(taxes) </w:t>
      </w:r>
      <w:r w:rsidR="00340025" w:rsidRPr="00FA4313">
        <w:rPr>
          <w:rFonts w:ascii="Times New Roman" w:hAnsi="Times New Roman" w:cs="Times New Roman"/>
          <w:sz w:val="24"/>
          <w:szCs w:val="24"/>
        </w:rPr>
        <w:t xml:space="preserve">in excess of </w:t>
      </w:r>
      <w:r w:rsidR="00F071B0" w:rsidRPr="00FA4313">
        <w:rPr>
          <w:rFonts w:ascii="Times New Roman" w:hAnsi="Times New Roman" w:cs="Times New Roman"/>
          <w:sz w:val="24"/>
          <w:szCs w:val="24"/>
        </w:rPr>
        <w:t>ZAR</w:t>
      </w:r>
      <w:r w:rsidR="00425126" w:rsidRPr="00FA4313">
        <w:rPr>
          <w:rFonts w:ascii="Times New Roman" w:hAnsi="Times New Roman" w:cs="Times New Roman"/>
          <w:sz w:val="24"/>
          <w:szCs w:val="24"/>
        </w:rPr>
        <w:t>540</w:t>
      </w:r>
      <w:r w:rsidR="00F071B0" w:rsidRPr="00FA4313">
        <w:rPr>
          <w:rFonts w:ascii="Times New Roman" w:hAnsi="Times New Roman" w:cs="Times New Roman"/>
          <w:sz w:val="24"/>
          <w:szCs w:val="24"/>
        </w:rPr>
        <w:t xml:space="preserve"> </w:t>
      </w:r>
      <w:r w:rsidR="00E614C6" w:rsidRPr="00FA4313">
        <w:rPr>
          <w:rFonts w:ascii="Times New Roman" w:hAnsi="Times New Roman" w:cs="Times New Roman"/>
          <w:sz w:val="24"/>
          <w:szCs w:val="24"/>
        </w:rPr>
        <w:t>million</w:t>
      </w:r>
      <w:r w:rsidR="00B34F27" w:rsidRPr="00FA4313">
        <w:rPr>
          <w:rFonts w:ascii="Times New Roman" w:hAnsi="Times New Roman" w:cs="Times New Roman"/>
          <w:sz w:val="24"/>
          <w:szCs w:val="24"/>
        </w:rPr>
        <w:t xml:space="preserve">. </w:t>
      </w:r>
      <w:r w:rsidR="00294021" w:rsidRPr="00FA4313">
        <w:rPr>
          <w:rFonts w:ascii="Times New Roman" w:hAnsi="Times New Roman" w:cs="Times New Roman"/>
          <w:sz w:val="24"/>
          <w:szCs w:val="24"/>
        </w:rPr>
        <w:t xml:space="preserve">Such an outcome </w:t>
      </w:r>
      <w:r w:rsidR="00FB75A7" w:rsidRPr="00FA4313">
        <w:rPr>
          <w:rFonts w:ascii="Times New Roman" w:hAnsi="Times New Roman" w:cs="Times New Roman"/>
          <w:sz w:val="24"/>
          <w:szCs w:val="24"/>
        </w:rPr>
        <w:t xml:space="preserve">may result in </w:t>
      </w:r>
      <w:r w:rsidR="00294021" w:rsidRPr="00FA4313">
        <w:rPr>
          <w:rFonts w:ascii="Times New Roman" w:hAnsi="Times New Roman" w:cs="Times New Roman"/>
          <w:sz w:val="24"/>
          <w:szCs w:val="24"/>
        </w:rPr>
        <w:t xml:space="preserve">the TNPA </w:t>
      </w:r>
      <w:r w:rsidR="00FB75A7" w:rsidRPr="00FA4313">
        <w:rPr>
          <w:rFonts w:ascii="Times New Roman" w:hAnsi="Times New Roman" w:cs="Times New Roman"/>
          <w:sz w:val="24"/>
          <w:szCs w:val="24"/>
        </w:rPr>
        <w:t xml:space="preserve">cross-subsidising the Transnet group as </w:t>
      </w:r>
      <w:r w:rsidR="00294021" w:rsidRPr="00FA4313">
        <w:rPr>
          <w:rFonts w:ascii="Times New Roman" w:hAnsi="Times New Roman" w:cs="Times New Roman"/>
          <w:sz w:val="24"/>
          <w:szCs w:val="24"/>
        </w:rPr>
        <w:t>it may</w:t>
      </w:r>
      <w:r w:rsidR="00FB75A7" w:rsidRPr="00FA4313">
        <w:rPr>
          <w:rFonts w:ascii="Times New Roman" w:hAnsi="Times New Roman" w:cs="Times New Roman"/>
          <w:sz w:val="24"/>
          <w:szCs w:val="24"/>
        </w:rPr>
        <w:t xml:space="preserve"> contribute an unfairly greater portion towards the Transnet group taxes</w:t>
      </w:r>
      <w:r w:rsidR="00720884" w:rsidRPr="00FA4313">
        <w:rPr>
          <w:rFonts w:ascii="Times New Roman" w:hAnsi="Times New Roman" w:cs="Times New Roman"/>
          <w:sz w:val="24"/>
          <w:szCs w:val="24"/>
        </w:rPr>
        <w:t xml:space="preserve"> – in a</w:t>
      </w:r>
      <w:r w:rsidR="00294021" w:rsidRPr="00FA4313">
        <w:rPr>
          <w:rFonts w:ascii="Times New Roman" w:hAnsi="Times New Roman" w:cs="Times New Roman"/>
          <w:sz w:val="24"/>
          <w:szCs w:val="24"/>
        </w:rPr>
        <w:t xml:space="preserve"> s</w:t>
      </w:r>
      <w:r w:rsidR="00FB75A7" w:rsidRPr="00FA4313">
        <w:rPr>
          <w:rFonts w:ascii="Times New Roman" w:hAnsi="Times New Roman" w:cs="Times New Roman"/>
          <w:sz w:val="24"/>
          <w:szCs w:val="24"/>
        </w:rPr>
        <w:t xml:space="preserve">imilar </w:t>
      </w:r>
      <w:r w:rsidR="00720884" w:rsidRPr="00FA4313">
        <w:rPr>
          <w:rFonts w:ascii="Times New Roman" w:hAnsi="Times New Roman" w:cs="Times New Roman"/>
          <w:sz w:val="24"/>
          <w:szCs w:val="24"/>
        </w:rPr>
        <w:t xml:space="preserve">way </w:t>
      </w:r>
      <w:r w:rsidR="00FB75A7" w:rsidRPr="00FA4313">
        <w:rPr>
          <w:rFonts w:ascii="Times New Roman" w:hAnsi="Times New Roman" w:cs="Times New Roman"/>
          <w:sz w:val="24"/>
          <w:szCs w:val="24"/>
        </w:rPr>
        <w:t xml:space="preserve">to the first </w:t>
      </w:r>
      <w:r w:rsidR="00294021" w:rsidRPr="00FA4313">
        <w:rPr>
          <w:rFonts w:ascii="Times New Roman" w:hAnsi="Times New Roman" w:cs="Times New Roman"/>
          <w:sz w:val="24"/>
          <w:szCs w:val="24"/>
        </w:rPr>
        <w:t>seven</w:t>
      </w:r>
      <w:r w:rsidR="00FB75A7" w:rsidRPr="00FA4313">
        <w:rPr>
          <w:rFonts w:ascii="Times New Roman" w:hAnsi="Times New Roman" w:cs="Times New Roman"/>
          <w:sz w:val="24"/>
          <w:szCs w:val="24"/>
        </w:rPr>
        <w:t xml:space="preserve"> years of regulation </w:t>
      </w:r>
      <w:r w:rsidR="00294021" w:rsidRPr="00FA4313">
        <w:rPr>
          <w:rFonts w:ascii="Times New Roman" w:hAnsi="Times New Roman" w:cs="Times New Roman"/>
          <w:sz w:val="24"/>
          <w:szCs w:val="24"/>
        </w:rPr>
        <w:t>where</w:t>
      </w:r>
      <w:r w:rsidR="00FB75A7" w:rsidRPr="00FA4313">
        <w:rPr>
          <w:rFonts w:ascii="Times New Roman" w:hAnsi="Times New Roman" w:cs="Times New Roman"/>
          <w:sz w:val="24"/>
          <w:szCs w:val="24"/>
        </w:rPr>
        <w:t xml:space="preserve"> </w:t>
      </w:r>
      <w:r w:rsidR="00294021" w:rsidRPr="00FA4313">
        <w:rPr>
          <w:rFonts w:ascii="Times New Roman" w:hAnsi="Times New Roman" w:cs="Times New Roman"/>
          <w:sz w:val="24"/>
          <w:szCs w:val="24"/>
        </w:rPr>
        <w:t xml:space="preserve">port users could have paid ZAR2.6 billion less had the </w:t>
      </w:r>
      <w:r w:rsidR="00470C05" w:rsidRPr="00FA4313">
        <w:rPr>
          <w:rFonts w:ascii="Times New Roman" w:hAnsi="Times New Roman" w:cs="Times New Roman"/>
          <w:sz w:val="24"/>
          <w:szCs w:val="24"/>
        </w:rPr>
        <w:t xml:space="preserve">average </w:t>
      </w:r>
      <w:r w:rsidR="00294021" w:rsidRPr="00FA4313">
        <w:rPr>
          <w:rFonts w:ascii="Times New Roman" w:hAnsi="Times New Roman" w:cs="Times New Roman"/>
          <w:sz w:val="24"/>
          <w:szCs w:val="24"/>
        </w:rPr>
        <w:t xml:space="preserve">equitable tax rate </w:t>
      </w:r>
      <w:r w:rsidR="00470C05" w:rsidRPr="00FA4313">
        <w:rPr>
          <w:rFonts w:ascii="Times New Roman" w:hAnsi="Times New Roman" w:cs="Times New Roman"/>
          <w:sz w:val="24"/>
          <w:szCs w:val="24"/>
        </w:rPr>
        <w:t xml:space="preserve">of </w:t>
      </w:r>
      <w:r w:rsidR="00FB7010" w:rsidRPr="00FA4313">
        <w:rPr>
          <w:rFonts w:ascii="Times New Roman" w:hAnsi="Times New Roman" w:cs="Times New Roman"/>
          <w:sz w:val="24"/>
          <w:szCs w:val="24"/>
        </w:rPr>
        <w:t xml:space="preserve">15.73% </w:t>
      </w:r>
      <w:r w:rsidR="00294021" w:rsidRPr="00FA4313">
        <w:rPr>
          <w:rFonts w:ascii="Times New Roman" w:hAnsi="Times New Roman" w:cs="Times New Roman"/>
          <w:sz w:val="24"/>
          <w:szCs w:val="24"/>
        </w:rPr>
        <w:t>been applied</w:t>
      </w:r>
      <w:r w:rsidR="00720884" w:rsidRPr="00FA4313">
        <w:rPr>
          <w:rFonts w:ascii="Times New Roman" w:hAnsi="Times New Roman" w:cs="Times New Roman"/>
          <w:sz w:val="24"/>
          <w:szCs w:val="24"/>
        </w:rPr>
        <w:t xml:space="preserve"> rather than the </w:t>
      </w:r>
      <w:r w:rsidR="00FB7010" w:rsidRPr="00FA4313">
        <w:rPr>
          <w:rFonts w:ascii="Times New Roman" w:hAnsi="Times New Roman" w:cs="Times New Roman"/>
          <w:sz w:val="24"/>
          <w:szCs w:val="24"/>
        </w:rPr>
        <w:t xml:space="preserve">28% </w:t>
      </w:r>
      <w:r w:rsidR="00720884" w:rsidRPr="00FA4313">
        <w:rPr>
          <w:rFonts w:ascii="Times New Roman" w:hAnsi="Times New Roman" w:cs="Times New Roman"/>
          <w:sz w:val="24"/>
          <w:szCs w:val="24"/>
        </w:rPr>
        <w:t>corporate</w:t>
      </w:r>
      <w:r w:rsidR="00FB7010" w:rsidRPr="00FA4313">
        <w:rPr>
          <w:rFonts w:ascii="Times New Roman" w:hAnsi="Times New Roman" w:cs="Times New Roman"/>
          <w:sz w:val="24"/>
          <w:szCs w:val="24"/>
        </w:rPr>
        <w:t xml:space="preserve"> tax rate</w:t>
      </w:r>
      <w:r w:rsidR="00294021" w:rsidRPr="00FA4313">
        <w:rPr>
          <w:rFonts w:ascii="Times New Roman" w:hAnsi="Times New Roman" w:cs="Times New Roman"/>
          <w:sz w:val="24"/>
          <w:szCs w:val="24"/>
        </w:rPr>
        <w:t xml:space="preserve"> (</w:t>
      </w:r>
      <w:r w:rsidR="00FB75A7" w:rsidRPr="00FA4313">
        <w:rPr>
          <w:rFonts w:ascii="Times New Roman" w:hAnsi="Times New Roman" w:cs="Times New Roman"/>
          <w:sz w:val="24"/>
          <w:szCs w:val="24"/>
        </w:rPr>
        <w:t xml:space="preserve">Fakir and </w:t>
      </w:r>
      <w:proofErr w:type="spellStart"/>
      <w:r w:rsidR="00FB75A7" w:rsidRPr="00FA4313">
        <w:rPr>
          <w:rFonts w:ascii="Times New Roman" w:hAnsi="Times New Roman" w:cs="Times New Roman"/>
          <w:sz w:val="24"/>
          <w:szCs w:val="24"/>
        </w:rPr>
        <w:t>Chasomeris</w:t>
      </w:r>
      <w:proofErr w:type="spellEnd"/>
      <w:r w:rsidR="00294021" w:rsidRPr="00FA4313">
        <w:rPr>
          <w:rFonts w:ascii="Times New Roman" w:hAnsi="Times New Roman" w:cs="Times New Roman"/>
          <w:sz w:val="24"/>
          <w:szCs w:val="24"/>
        </w:rPr>
        <w:t xml:space="preserve">, </w:t>
      </w:r>
      <w:r w:rsidR="00FB75A7" w:rsidRPr="00FA4313">
        <w:rPr>
          <w:rFonts w:ascii="Times New Roman" w:hAnsi="Times New Roman" w:cs="Times New Roman"/>
          <w:sz w:val="24"/>
          <w:szCs w:val="24"/>
        </w:rPr>
        <w:t>20</w:t>
      </w:r>
      <w:r w:rsidR="006B6BD8" w:rsidRPr="00FA4313">
        <w:rPr>
          <w:rFonts w:ascii="Times New Roman" w:hAnsi="Times New Roman" w:cs="Times New Roman"/>
          <w:sz w:val="24"/>
          <w:szCs w:val="24"/>
        </w:rPr>
        <w:t>19</w:t>
      </w:r>
      <w:r w:rsidR="00FB75A7" w:rsidRPr="00FA4313">
        <w:rPr>
          <w:rFonts w:ascii="Times New Roman" w:hAnsi="Times New Roman" w:cs="Times New Roman"/>
          <w:sz w:val="24"/>
          <w:szCs w:val="24"/>
        </w:rPr>
        <w:t>).</w:t>
      </w:r>
    </w:p>
    <w:p w14:paraId="3B04A7BB" w14:textId="2F4AC011" w:rsidR="00E9220A" w:rsidRPr="00FA4313" w:rsidRDefault="00FB75A7" w:rsidP="00FA4313">
      <w:pPr>
        <w:spacing w:after="0" w:line="240" w:lineRule="auto"/>
        <w:jc w:val="both"/>
        <w:rPr>
          <w:rFonts w:ascii="Times New Roman" w:hAnsi="Times New Roman" w:cs="Times New Roman"/>
          <w:b/>
          <w:color w:val="000000"/>
          <w:sz w:val="24"/>
          <w:szCs w:val="24"/>
        </w:rPr>
      </w:pPr>
      <w:r w:rsidRPr="00FA4313">
        <w:rPr>
          <w:rFonts w:ascii="Times New Roman" w:hAnsi="Times New Roman" w:cs="Times New Roman"/>
          <w:sz w:val="24"/>
          <w:szCs w:val="24"/>
        </w:rPr>
        <w:t xml:space="preserve"> </w:t>
      </w:r>
    </w:p>
    <w:p w14:paraId="3CA3799D" w14:textId="384DA8D6" w:rsidR="00E9220A" w:rsidRPr="00FA4313" w:rsidRDefault="009B5901" w:rsidP="00FA4313">
      <w:pPr>
        <w:numPr>
          <w:ilvl w:val="0"/>
          <w:numId w:val="1"/>
        </w:numPr>
        <w:pBdr>
          <w:top w:val="nil"/>
          <w:left w:val="nil"/>
          <w:bottom w:val="nil"/>
          <w:right w:val="nil"/>
          <w:between w:val="nil"/>
        </w:pBdr>
        <w:spacing w:after="0" w:line="240" w:lineRule="auto"/>
        <w:ind w:left="284" w:hanging="284"/>
        <w:jc w:val="both"/>
        <w:rPr>
          <w:rFonts w:ascii="Times New Roman" w:hAnsi="Times New Roman" w:cs="Times New Roman"/>
          <w:b/>
          <w:color w:val="000000"/>
          <w:sz w:val="24"/>
          <w:szCs w:val="24"/>
        </w:rPr>
      </w:pPr>
      <w:sdt>
        <w:sdtPr>
          <w:rPr>
            <w:rFonts w:ascii="Times New Roman" w:hAnsi="Times New Roman" w:cs="Times New Roman"/>
            <w:sz w:val="24"/>
            <w:szCs w:val="24"/>
          </w:rPr>
          <w:tag w:val="goog_rdk_14"/>
          <w:id w:val="-1160148140"/>
        </w:sdtPr>
        <w:sdtEndPr/>
        <w:sdtContent/>
      </w:sdt>
      <w:r w:rsidR="00A656F0" w:rsidRPr="00FA4313">
        <w:rPr>
          <w:rFonts w:ascii="Times New Roman" w:hAnsi="Times New Roman" w:cs="Times New Roman"/>
          <w:b/>
          <w:color w:val="000000"/>
          <w:sz w:val="24"/>
          <w:szCs w:val="24"/>
        </w:rPr>
        <w:t>Conclusion</w:t>
      </w:r>
      <w:r w:rsidR="00633ED1" w:rsidRPr="00FA4313">
        <w:rPr>
          <w:rFonts w:ascii="Times New Roman" w:hAnsi="Times New Roman" w:cs="Times New Roman"/>
          <w:b/>
          <w:color w:val="000000"/>
          <w:sz w:val="24"/>
          <w:szCs w:val="24"/>
        </w:rPr>
        <w:t xml:space="preserve"> and Recommendatio</w:t>
      </w:r>
      <w:r w:rsidR="008E1CAE" w:rsidRPr="00FA4313">
        <w:rPr>
          <w:rFonts w:ascii="Times New Roman" w:hAnsi="Times New Roman" w:cs="Times New Roman"/>
          <w:b/>
          <w:color w:val="000000"/>
          <w:sz w:val="24"/>
          <w:szCs w:val="24"/>
        </w:rPr>
        <w:t>ns</w:t>
      </w:r>
    </w:p>
    <w:p w14:paraId="1652DAEF" w14:textId="77777777" w:rsidR="00C81362" w:rsidRPr="00FA4313" w:rsidRDefault="00C81362" w:rsidP="0029616D">
      <w:pPr>
        <w:pBdr>
          <w:top w:val="nil"/>
          <w:left w:val="nil"/>
          <w:bottom w:val="nil"/>
          <w:right w:val="nil"/>
          <w:between w:val="nil"/>
        </w:pBdr>
        <w:spacing w:after="0" w:line="240" w:lineRule="auto"/>
        <w:ind w:left="284"/>
        <w:jc w:val="both"/>
        <w:rPr>
          <w:rFonts w:ascii="Times New Roman" w:hAnsi="Times New Roman" w:cs="Times New Roman"/>
          <w:b/>
          <w:color w:val="000000"/>
          <w:sz w:val="24"/>
          <w:szCs w:val="24"/>
        </w:rPr>
      </w:pPr>
    </w:p>
    <w:p w14:paraId="54CC2FAB" w14:textId="77777777" w:rsidR="00C81362" w:rsidRPr="00FA4313" w:rsidRDefault="00CD5902" w:rsidP="00FA4313">
      <w:pPr>
        <w:spacing w:after="0" w:line="240" w:lineRule="auto"/>
        <w:jc w:val="both"/>
        <w:rPr>
          <w:rFonts w:ascii="Times New Roman" w:hAnsi="Times New Roman" w:cs="Times New Roman"/>
          <w:color w:val="222222"/>
          <w:sz w:val="24"/>
          <w:szCs w:val="24"/>
        </w:rPr>
      </w:pPr>
      <w:r w:rsidRPr="00FA4313">
        <w:rPr>
          <w:rFonts w:ascii="Times New Roman" w:hAnsi="Times New Roman" w:cs="Times New Roman"/>
          <w:sz w:val="24"/>
          <w:szCs w:val="24"/>
        </w:rPr>
        <w:t xml:space="preserve">The COVID-19 pandemic has created fundamental challenges globally and in South Africa it </w:t>
      </w:r>
      <w:r w:rsidRPr="00FA4313">
        <w:rPr>
          <w:rFonts w:ascii="Times New Roman" w:hAnsi="Times New Roman" w:cs="Times New Roman"/>
          <w:color w:val="222222"/>
          <w:sz w:val="24"/>
          <w:szCs w:val="24"/>
          <w:highlight w:val="white"/>
        </w:rPr>
        <w:t>was exacerbated by a set of other events before and after the COVID-19 pandemic outbreak.</w:t>
      </w:r>
      <w:r w:rsidRPr="00FA4313">
        <w:rPr>
          <w:rFonts w:ascii="Times New Roman" w:hAnsi="Times New Roman" w:cs="Times New Roman"/>
          <w:color w:val="222222"/>
          <w:sz w:val="24"/>
          <w:szCs w:val="24"/>
        </w:rPr>
        <w:t xml:space="preserve"> Globally one of the greatest impacts was on shipping costs that increased exponentially. South Africa has also felt the impact of these </w:t>
      </w:r>
      <w:r w:rsidRPr="00FA4313">
        <w:rPr>
          <w:rFonts w:ascii="Times New Roman" w:hAnsi="Times New Roman" w:cs="Times New Roman"/>
          <w:color w:val="222222"/>
          <w:sz w:val="24"/>
          <w:szCs w:val="24"/>
        </w:rPr>
        <w:lastRenderedPageBreak/>
        <w:t>freight rate increases severely, however freight rates are an issue over which local authorities have little control.</w:t>
      </w:r>
    </w:p>
    <w:p w14:paraId="7FB7E308" w14:textId="4AC97833" w:rsidR="00CD5902" w:rsidRPr="00FA4313" w:rsidRDefault="00CD5902" w:rsidP="00FA4313">
      <w:pPr>
        <w:spacing w:after="0" w:line="240" w:lineRule="auto"/>
        <w:jc w:val="both"/>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rPr>
        <w:t xml:space="preserve"> </w:t>
      </w:r>
      <w:r w:rsidRPr="00FA4313">
        <w:rPr>
          <w:rFonts w:ascii="Times New Roman" w:hAnsi="Times New Roman" w:cs="Times New Roman"/>
          <w:color w:val="222222"/>
          <w:sz w:val="24"/>
          <w:szCs w:val="24"/>
          <w:highlight w:val="white"/>
        </w:rPr>
        <w:t xml:space="preserve">This study aimed to analyse the impact of COVID-19 disruptions, and showed the adverse effects of the pandemic, including higher liner freight rates, on South Africa’s ports. </w:t>
      </w:r>
      <w:r w:rsidR="00B26BCB" w:rsidRPr="00FA4313">
        <w:rPr>
          <w:rFonts w:ascii="Times New Roman" w:hAnsi="Times New Roman" w:cs="Times New Roman"/>
          <w:color w:val="222222"/>
          <w:sz w:val="24"/>
          <w:szCs w:val="24"/>
          <w:highlight w:val="white"/>
        </w:rPr>
        <w:t>The study also highlighted</w:t>
      </w:r>
      <w:r w:rsidRPr="00FA4313">
        <w:rPr>
          <w:rFonts w:ascii="Times New Roman" w:hAnsi="Times New Roman" w:cs="Times New Roman"/>
          <w:color w:val="222222"/>
          <w:sz w:val="24"/>
          <w:szCs w:val="24"/>
          <w:highlight w:val="white"/>
        </w:rPr>
        <w:t xml:space="preserve"> the role of port pricing, NPA tariffs and reduced investments in port infrastructure. These are factors that can be controlled locally to enhance the cost-effectiveness and competitiveness of South Africa’s maritime sector.  </w:t>
      </w:r>
    </w:p>
    <w:p w14:paraId="4C8D9CEC" w14:textId="798CBFAF" w:rsidR="00C61E24" w:rsidRPr="00FA4313" w:rsidRDefault="00CD5902"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The PRSA (2021) benchmarking study shows that South Africa’s port authority charges are 69% above the global benchmarked mean and that cargo dues are 166% above the mean. </w:t>
      </w:r>
      <w:r w:rsidR="00C61E24" w:rsidRPr="00FA4313">
        <w:rPr>
          <w:rFonts w:ascii="Times New Roman" w:hAnsi="Times New Roman" w:cs="Times New Roman"/>
          <w:sz w:val="24"/>
          <w:szCs w:val="24"/>
        </w:rPr>
        <w:t xml:space="preserve">There is the possibility of reducing </w:t>
      </w:r>
      <w:r w:rsidR="00EC2789" w:rsidRPr="00FA4313">
        <w:rPr>
          <w:rFonts w:ascii="Times New Roman" w:hAnsi="Times New Roman" w:cs="Times New Roman"/>
          <w:sz w:val="24"/>
          <w:szCs w:val="24"/>
        </w:rPr>
        <w:t>NPA</w:t>
      </w:r>
      <w:r w:rsidR="00C61E24" w:rsidRPr="00FA4313">
        <w:rPr>
          <w:rFonts w:ascii="Times New Roman" w:hAnsi="Times New Roman" w:cs="Times New Roman"/>
          <w:sz w:val="24"/>
          <w:szCs w:val="24"/>
        </w:rPr>
        <w:t xml:space="preserve"> tariffs by </w:t>
      </w:r>
      <w:r w:rsidR="00356E79" w:rsidRPr="00FA4313">
        <w:rPr>
          <w:rFonts w:ascii="Times New Roman" w:hAnsi="Times New Roman" w:cs="Times New Roman"/>
          <w:sz w:val="24"/>
          <w:szCs w:val="24"/>
        </w:rPr>
        <w:t>as much as</w:t>
      </w:r>
      <w:r w:rsidRPr="00FA4313">
        <w:rPr>
          <w:rFonts w:ascii="Times New Roman" w:hAnsi="Times New Roman" w:cs="Times New Roman"/>
          <w:sz w:val="24"/>
          <w:szCs w:val="24"/>
        </w:rPr>
        <w:t xml:space="preserve"> </w:t>
      </w:r>
      <w:r w:rsidR="00C61E24" w:rsidRPr="00FA4313">
        <w:rPr>
          <w:rFonts w:ascii="Times New Roman" w:hAnsi="Times New Roman" w:cs="Times New Roman"/>
          <w:sz w:val="24"/>
          <w:szCs w:val="24"/>
        </w:rPr>
        <w:t>20%</w:t>
      </w:r>
      <w:r w:rsidRPr="00FA4313">
        <w:rPr>
          <w:rFonts w:ascii="Times New Roman" w:hAnsi="Times New Roman" w:cs="Times New Roman"/>
          <w:sz w:val="24"/>
          <w:szCs w:val="24"/>
        </w:rPr>
        <w:t xml:space="preserve"> (see the methodology and results sections)</w:t>
      </w:r>
      <w:r w:rsidR="00C61E24" w:rsidRPr="00FA4313">
        <w:rPr>
          <w:rFonts w:ascii="Times New Roman" w:hAnsi="Times New Roman" w:cs="Times New Roman"/>
          <w:sz w:val="24"/>
          <w:szCs w:val="24"/>
        </w:rPr>
        <w:t>.</w:t>
      </w:r>
      <w:r w:rsidRPr="00FA4313">
        <w:rPr>
          <w:rFonts w:ascii="Times New Roman" w:hAnsi="Times New Roman" w:cs="Times New Roman"/>
          <w:sz w:val="24"/>
          <w:szCs w:val="24"/>
        </w:rPr>
        <w:t xml:space="preserve"> </w:t>
      </w:r>
      <w:r w:rsidR="003E51D5" w:rsidRPr="00FA4313">
        <w:rPr>
          <w:rFonts w:ascii="Times New Roman" w:hAnsi="Times New Roman" w:cs="Times New Roman"/>
          <w:sz w:val="24"/>
          <w:szCs w:val="24"/>
        </w:rPr>
        <w:t xml:space="preserve">This </w:t>
      </w:r>
      <w:r w:rsidR="00B04451" w:rsidRPr="00FA4313">
        <w:rPr>
          <w:rFonts w:ascii="Times New Roman" w:hAnsi="Times New Roman" w:cs="Times New Roman"/>
          <w:sz w:val="24"/>
          <w:szCs w:val="24"/>
        </w:rPr>
        <w:t>article</w:t>
      </w:r>
      <w:r w:rsidR="003E51D5" w:rsidRPr="00FA4313">
        <w:rPr>
          <w:rFonts w:ascii="Times New Roman" w:hAnsi="Times New Roman" w:cs="Times New Roman"/>
          <w:sz w:val="24"/>
          <w:szCs w:val="24"/>
        </w:rPr>
        <w:t xml:space="preserve"> provides the justification and evidence to reduce </w:t>
      </w:r>
      <w:r w:rsidR="00EC2789" w:rsidRPr="00FA4313">
        <w:rPr>
          <w:rFonts w:ascii="Times New Roman" w:hAnsi="Times New Roman" w:cs="Times New Roman"/>
          <w:sz w:val="24"/>
          <w:szCs w:val="24"/>
        </w:rPr>
        <w:t>NPA</w:t>
      </w:r>
      <w:r w:rsidR="003E51D5" w:rsidRPr="00FA4313">
        <w:rPr>
          <w:rFonts w:ascii="Times New Roman" w:hAnsi="Times New Roman" w:cs="Times New Roman"/>
          <w:sz w:val="24"/>
          <w:szCs w:val="24"/>
        </w:rPr>
        <w:t xml:space="preserve"> charges at </w:t>
      </w:r>
      <w:r w:rsidR="009805F7" w:rsidRPr="00FA4313">
        <w:rPr>
          <w:rFonts w:ascii="Times New Roman" w:hAnsi="Times New Roman" w:cs="Times New Roman"/>
          <w:sz w:val="24"/>
          <w:szCs w:val="24"/>
        </w:rPr>
        <w:t>South Africa</w:t>
      </w:r>
      <w:r w:rsidR="003E51D5" w:rsidRPr="00FA4313">
        <w:rPr>
          <w:rFonts w:ascii="Times New Roman" w:hAnsi="Times New Roman" w:cs="Times New Roman"/>
          <w:sz w:val="24"/>
          <w:szCs w:val="24"/>
        </w:rPr>
        <w:t xml:space="preserve">’s eight commercial ports. </w:t>
      </w:r>
    </w:p>
    <w:p w14:paraId="6FC9DCAD" w14:textId="70E88E52" w:rsidR="00370C1D" w:rsidRPr="00FA4313" w:rsidRDefault="00CD650A"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The South African economy experienced a severe recession in 2020, largely due to the extreme COVID-19 lockdown measures imposed. </w:t>
      </w:r>
      <w:r w:rsidR="003C6017" w:rsidRPr="00FA4313">
        <w:rPr>
          <w:rFonts w:ascii="Times New Roman" w:hAnsi="Times New Roman" w:cs="Times New Roman"/>
          <w:sz w:val="24"/>
          <w:szCs w:val="24"/>
        </w:rPr>
        <w:t>Real GDP declined by seven percent accompanied by significant reductions</w:t>
      </w:r>
      <w:r w:rsidR="0043376B" w:rsidRPr="00FA4313">
        <w:rPr>
          <w:rFonts w:ascii="Times New Roman" w:hAnsi="Times New Roman" w:cs="Times New Roman"/>
          <w:sz w:val="24"/>
          <w:szCs w:val="24"/>
        </w:rPr>
        <w:t xml:space="preserve"> </w:t>
      </w:r>
      <w:r w:rsidR="003C6017" w:rsidRPr="00FA4313">
        <w:rPr>
          <w:rFonts w:ascii="Times New Roman" w:hAnsi="Times New Roman" w:cs="Times New Roman"/>
          <w:sz w:val="24"/>
          <w:szCs w:val="24"/>
        </w:rPr>
        <w:t xml:space="preserve">in trade volumes handled in South Africa’s ports. </w:t>
      </w:r>
      <w:r w:rsidR="006D43BC" w:rsidRPr="00FA4313">
        <w:rPr>
          <w:rFonts w:ascii="Times New Roman" w:hAnsi="Times New Roman" w:cs="Times New Roman"/>
          <w:sz w:val="24"/>
          <w:szCs w:val="24"/>
        </w:rPr>
        <w:t>Section 3.1 shows the decrease in container volumes and parallel increase in container freight rates from 2020 onwards</w:t>
      </w:r>
      <w:r w:rsidR="008E5FFD" w:rsidRPr="00FA4313">
        <w:rPr>
          <w:rFonts w:ascii="Times New Roman" w:hAnsi="Times New Roman" w:cs="Times New Roman"/>
          <w:sz w:val="24"/>
          <w:szCs w:val="24"/>
        </w:rPr>
        <w:t xml:space="preserve">. </w:t>
      </w:r>
      <w:r w:rsidR="003C6017" w:rsidRPr="00FA4313">
        <w:rPr>
          <w:rFonts w:ascii="Times New Roman" w:hAnsi="Times New Roman" w:cs="Times New Roman"/>
          <w:sz w:val="24"/>
          <w:szCs w:val="24"/>
        </w:rPr>
        <w:t xml:space="preserve">The reduction in port trade volumes contributed </w:t>
      </w:r>
      <w:r w:rsidR="00051483" w:rsidRPr="00FA4313">
        <w:rPr>
          <w:rFonts w:ascii="Times New Roman" w:hAnsi="Times New Roman" w:cs="Times New Roman"/>
          <w:sz w:val="24"/>
          <w:szCs w:val="24"/>
        </w:rPr>
        <w:t xml:space="preserve">to </w:t>
      </w:r>
      <w:r w:rsidR="00370C1D" w:rsidRPr="00FA4313">
        <w:rPr>
          <w:rFonts w:ascii="Times New Roman" w:hAnsi="Times New Roman" w:cs="Times New Roman"/>
          <w:sz w:val="24"/>
          <w:szCs w:val="24"/>
        </w:rPr>
        <w:t>sharp increases in the NPA tariff</w:t>
      </w:r>
      <w:r w:rsidR="000C67A7" w:rsidRPr="00FA4313">
        <w:rPr>
          <w:rFonts w:ascii="Times New Roman" w:hAnsi="Times New Roman" w:cs="Times New Roman"/>
          <w:sz w:val="24"/>
          <w:szCs w:val="24"/>
        </w:rPr>
        <w:t xml:space="preserve"> </w:t>
      </w:r>
      <w:r w:rsidR="00370C1D" w:rsidRPr="00FA4313">
        <w:rPr>
          <w:rFonts w:ascii="Times New Roman" w:hAnsi="Times New Roman" w:cs="Times New Roman"/>
          <w:sz w:val="24"/>
          <w:szCs w:val="24"/>
        </w:rPr>
        <w:t xml:space="preserve">applications (19.4% for 2020/21 and 23.96% for 2022/23). </w:t>
      </w:r>
      <w:r w:rsidR="00051483" w:rsidRPr="00FA4313">
        <w:rPr>
          <w:rFonts w:ascii="Times New Roman" w:hAnsi="Times New Roman" w:cs="Times New Roman"/>
          <w:sz w:val="24"/>
          <w:szCs w:val="24"/>
        </w:rPr>
        <w:t xml:space="preserve">NPA </w:t>
      </w:r>
      <w:r w:rsidR="007A0BE1" w:rsidRPr="00FA4313">
        <w:rPr>
          <w:rFonts w:ascii="Times New Roman" w:hAnsi="Times New Roman" w:cs="Times New Roman"/>
          <w:sz w:val="24"/>
          <w:szCs w:val="24"/>
        </w:rPr>
        <w:t>capital expenditure</w:t>
      </w:r>
      <w:r w:rsidR="00051483" w:rsidRPr="00FA4313">
        <w:rPr>
          <w:rFonts w:ascii="Times New Roman" w:hAnsi="Times New Roman" w:cs="Times New Roman"/>
          <w:sz w:val="24"/>
          <w:szCs w:val="24"/>
        </w:rPr>
        <w:t xml:space="preserve"> investment declined from R1598 </w:t>
      </w:r>
      <w:r w:rsidR="005F3D56" w:rsidRPr="00FA4313">
        <w:rPr>
          <w:rFonts w:ascii="Times New Roman" w:hAnsi="Times New Roman" w:cs="Times New Roman"/>
          <w:sz w:val="24"/>
          <w:szCs w:val="24"/>
        </w:rPr>
        <w:t xml:space="preserve">million </w:t>
      </w:r>
      <w:r w:rsidR="00051483" w:rsidRPr="00FA4313">
        <w:rPr>
          <w:rFonts w:ascii="Times New Roman" w:hAnsi="Times New Roman" w:cs="Times New Roman"/>
          <w:sz w:val="24"/>
          <w:szCs w:val="24"/>
        </w:rPr>
        <w:t>in 2019</w:t>
      </w:r>
      <w:r w:rsidR="00260D86" w:rsidRPr="00FA4313">
        <w:rPr>
          <w:rFonts w:ascii="Times New Roman" w:hAnsi="Times New Roman" w:cs="Times New Roman"/>
          <w:sz w:val="24"/>
          <w:szCs w:val="24"/>
        </w:rPr>
        <w:t>/20</w:t>
      </w:r>
      <w:r w:rsidR="00051483" w:rsidRPr="00FA4313">
        <w:rPr>
          <w:rFonts w:ascii="Times New Roman" w:hAnsi="Times New Roman" w:cs="Times New Roman"/>
          <w:sz w:val="24"/>
          <w:szCs w:val="24"/>
        </w:rPr>
        <w:t xml:space="preserve"> to R684</w:t>
      </w:r>
      <w:r w:rsidR="005F3D56" w:rsidRPr="00FA4313">
        <w:rPr>
          <w:rFonts w:ascii="Times New Roman" w:hAnsi="Times New Roman" w:cs="Times New Roman"/>
          <w:sz w:val="24"/>
          <w:szCs w:val="24"/>
        </w:rPr>
        <w:t xml:space="preserve"> million</w:t>
      </w:r>
      <w:r w:rsidR="00051483" w:rsidRPr="00FA4313">
        <w:rPr>
          <w:rFonts w:ascii="Times New Roman" w:hAnsi="Times New Roman" w:cs="Times New Roman"/>
          <w:sz w:val="24"/>
          <w:szCs w:val="24"/>
        </w:rPr>
        <w:t xml:space="preserve"> </w:t>
      </w:r>
      <w:r w:rsidR="00547BE3" w:rsidRPr="00FA4313">
        <w:rPr>
          <w:rFonts w:ascii="Times New Roman" w:hAnsi="Times New Roman" w:cs="Times New Roman"/>
          <w:sz w:val="24"/>
          <w:szCs w:val="24"/>
        </w:rPr>
        <w:t>in</w:t>
      </w:r>
      <w:r w:rsidR="00051483" w:rsidRPr="00FA4313">
        <w:rPr>
          <w:rFonts w:ascii="Times New Roman" w:hAnsi="Times New Roman" w:cs="Times New Roman"/>
          <w:sz w:val="24"/>
          <w:szCs w:val="24"/>
        </w:rPr>
        <w:t xml:space="preserve"> 2020/21.</w:t>
      </w:r>
    </w:p>
    <w:p w14:paraId="2E23DBF9" w14:textId="46CEA85D" w:rsidR="008C7E3D" w:rsidRPr="00FA4313" w:rsidRDefault="008C7E3D" w:rsidP="00FA4313">
      <w:pPr>
        <w:spacing w:after="0" w:line="240" w:lineRule="auto"/>
        <w:jc w:val="both"/>
        <w:rPr>
          <w:rFonts w:ascii="Times New Roman" w:hAnsi="Times New Roman" w:cs="Times New Roman"/>
          <w:b/>
          <w:sz w:val="24"/>
          <w:szCs w:val="24"/>
        </w:rPr>
      </w:pPr>
      <w:r w:rsidRPr="00FA4313">
        <w:rPr>
          <w:rFonts w:ascii="Times New Roman" w:hAnsi="Times New Roman" w:cs="Times New Roman"/>
          <w:sz w:val="24"/>
          <w:szCs w:val="24"/>
        </w:rPr>
        <w:t>For 2022/23, the NPA applied for a weighted average tariff increase of 23.96%</w:t>
      </w:r>
      <w:r w:rsidR="003E5322" w:rsidRPr="00FA4313">
        <w:rPr>
          <w:rFonts w:ascii="Times New Roman" w:hAnsi="Times New Roman" w:cs="Times New Roman"/>
          <w:sz w:val="24"/>
          <w:szCs w:val="24"/>
        </w:rPr>
        <w:t>. The PRSA allowed an overall 4.8% weighted average increase, but it required using ZAR</w:t>
      </w:r>
      <w:r w:rsidR="00C704E9" w:rsidRPr="00FA4313">
        <w:rPr>
          <w:rFonts w:ascii="Times New Roman" w:hAnsi="Times New Roman" w:cs="Times New Roman"/>
          <w:sz w:val="24"/>
          <w:szCs w:val="24"/>
        </w:rPr>
        <w:t>1.188 billion</w:t>
      </w:r>
      <w:r w:rsidR="003E5322" w:rsidRPr="00FA4313">
        <w:rPr>
          <w:rFonts w:ascii="Times New Roman" w:hAnsi="Times New Roman" w:cs="Times New Roman"/>
          <w:sz w:val="24"/>
          <w:szCs w:val="24"/>
        </w:rPr>
        <w:t xml:space="preserve"> from the ETIMC (essentially a subsidy) and such a scenario trend of heavily drawing on the ETIMC is not sustainable as there </w:t>
      </w:r>
      <w:r w:rsidR="004E5B21" w:rsidRPr="00FA4313">
        <w:rPr>
          <w:rFonts w:ascii="Times New Roman" w:hAnsi="Times New Roman" w:cs="Times New Roman"/>
          <w:sz w:val="24"/>
          <w:szCs w:val="24"/>
        </w:rPr>
        <w:t>are</w:t>
      </w:r>
      <w:r w:rsidR="003E5322" w:rsidRPr="00FA4313">
        <w:rPr>
          <w:rFonts w:ascii="Times New Roman" w:hAnsi="Times New Roman" w:cs="Times New Roman"/>
          <w:sz w:val="24"/>
          <w:szCs w:val="24"/>
        </w:rPr>
        <w:t xml:space="preserve"> insufficient funds in the account. Our results </w:t>
      </w:r>
      <w:r w:rsidR="00941BCE" w:rsidRPr="00FA4313">
        <w:rPr>
          <w:rFonts w:ascii="Times New Roman" w:hAnsi="Times New Roman" w:cs="Times New Roman"/>
          <w:sz w:val="24"/>
          <w:szCs w:val="24"/>
        </w:rPr>
        <w:t>from</w:t>
      </w:r>
      <w:r w:rsidR="003E5322" w:rsidRPr="00FA4313">
        <w:rPr>
          <w:rFonts w:ascii="Times New Roman" w:hAnsi="Times New Roman" w:cs="Times New Roman"/>
          <w:sz w:val="24"/>
          <w:szCs w:val="24"/>
        </w:rPr>
        <w:t xml:space="preserve"> the </w:t>
      </w:r>
      <w:r w:rsidR="009420E4" w:rsidRPr="00FA4313">
        <w:rPr>
          <w:rFonts w:ascii="Times New Roman" w:hAnsi="Times New Roman" w:cs="Times New Roman"/>
          <w:sz w:val="24"/>
          <w:szCs w:val="24"/>
        </w:rPr>
        <w:t xml:space="preserve">five RR scenarios examined </w:t>
      </w:r>
      <w:r w:rsidRPr="00FA4313">
        <w:rPr>
          <w:rFonts w:ascii="Times New Roman" w:hAnsi="Times New Roman" w:cs="Times New Roman"/>
          <w:sz w:val="24"/>
          <w:szCs w:val="24"/>
        </w:rPr>
        <w:t xml:space="preserve">and justified how the tariff application could and should </w:t>
      </w:r>
      <w:r w:rsidR="009420E4" w:rsidRPr="00FA4313">
        <w:rPr>
          <w:rFonts w:ascii="Times New Roman" w:hAnsi="Times New Roman" w:cs="Times New Roman"/>
          <w:sz w:val="24"/>
          <w:szCs w:val="24"/>
        </w:rPr>
        <w:t xml:space="preserve">have been </w:t>
      </w:r>
      <w:r w:rsidRPr="00FA4313">
        <w:rPr>
          <w:rFonts w:ascii="Times New Roman" w:hAnsi="Times New Roman" w:cs="Times New Roman"/>
          <w:sz w:val="24"/>
          <w:szCs w:val="24"/>
        </w:rPr>
        <w:t xml:space="preserve">much lower. In the case of the adoption of scenario </w:t>
      </w:r>
      <w:r w:rsidR="009B5DAD" w:rsidRPr="00FA4313">
        <w:rPr>
          <w:rFonts w:ascii="Times New Roman" w:hAnsi="Times New Roman" w:cs="Times New Roman"/>
          <w:sz w:val="24"/>
          <w:szCs w:val="24"/>
        </w:rPr>
        <w:t>four</w:t>
      </w:r>
      <w:r w:rsidRPr="00FA4313">
        <w:rPr>
          <w:rFonts w:ascii="Times New Roman" w:hAnsi="Times New Roman" w:cs="Times New Roman"/>
          <w:sz w:val="24"/>
          <w:szCs w:val="24"/>
        </w:rPr>
        <w:t xml:space="preserve">, </w:t>
      </w:r>
      <w:r w:rsidR="009420E4" w:rsidRPr="00FA4313">
        <w:rPr>
          <w:rFonts w:ascii="Times New Roman" w:hAnsi="Times New Roman" w:cs="Times New Roman"/>
          <w:sz w:val="24"/>
          <w:szCs w:val="24"/>
        </w:rPr>
        <w:t>a</w:t>
      </w:r>
      <w:r w:rsidRPr="00FA4313">
        <w:rPr>
          <w:rFonts w:ascii="Times New Roman" w:hAnsi="Times New Roman" w:cs="Times New Roman"/>
          <w:sz w:val="24"/>
          <w:szCs w:val="24"/>
        </w:rPr>
        <w:t xml:space="preserve"> tariff</w:t>
      </w:r>
      <w:r w:rsidR="009420E4" w:rsidRPr="00FA4313">
        <w:rPr>
          <w:rFonts w:ascii="Times New Roman" w:hAnsi="Times New Roman" w:cs="Times New Roman"/>
          <w:sz w:val="24"/>
          <w:szCs w:val="24"/>
        </w:rPr>
        <w:t xml:space="preserve"> </w:t>
      </w:r>
      <w:r w:rsidR="007B5FB2" w:rsidRPr="00FA4313">
        <w:rPr>
          <w:rFonts w:ascii="Times New Roman" w:hAnsi="Times New Roman" w:cs="Times New Roman"/>
          <w:sz w:val="24"/>
          <w:szCs w:val="24"/>
        </w:rPr>
        <w:t>decrease</w:t>
      </w:r>
      <w:r w:rsidR="009420E4" w:rsidRPr="00FA4313">
        <w:rPr>
          <w:rFonts w:ascii="Times New Roman" w:hAnsi="Times New Roman" w:cs="Times New Roman"/>
          <w:sz w:val="24"/>
          <w:szCs w:val="24"/>
        </w:rPr>
        <w:t xml:space="preserve"> </w:t>
      </w:r>
      <w:r w:rsidRPr="00FA4313">
        <w:rPr>
          <w:rFonts w:ascii="Times New Roman" w:hAnsi="Times New Roman" w:cs="Times New Roman"/>
          <w:sz w:val="24"/>
          <w:szCs w:val="24"/>
        </w:rPr>
        <w:t xml:space="preserve">of 5.76% and </w:t>
      </w:r>
      <w:r w:rsidR="00417FDA" w:rsidRPr="00FA4313">
        <w:rPr>
          <w:rFonts w:ascii="Times New Roman" w:hAnsi="Times New Roman" w:cs="Times New Roman"/>
          <w:sz w:val="24"/>
          <w:szCs w:val="24"/>
        </w:rPr>
        <w:t>in the case of scenario five a</w:t>
      </w:r>
      <w:r w:rsidRPr="00FA4313">
        <w:rPr>
          <w:rFonts w:ascii="Times New Roman" w:hAnsi="Times New Roman" w:cs="Times New Roman"/>
          <w:sz w:val="24"/>
          <w:szCs w:val="24"/>
        </w:rPr>
        <w:t xml:space="preserve"> 20.32</w:t>
      </w:r>
      <w:r w:rsidR="00417FDA" w:rsidRPr="00FA4313">
        <w:rPr>
          <w:rFonts w:ascii="Times New Roman" w:hAnsi="Times New Roman" w:cs="Times New Roman"/>
          <w:sz w:val="24"/>
          <w:szCs w:val="24"/>
        </w:rPr>
        <w:t xml:space="preserve">% </w:t>
      </w:r>
      <w:r w:rsidR="003E5322" w:rsidRPr="00FA4313">
        <w:rPr>
          <w:rFonts w:ascii="Times New Roman" w:hAnsi="Times New Roman" w:cs="Times New Roman"/>
          <w:sz w:val="24"/>
          <w:szCs w:val="24"/>
        </w:rPr>
        <w:t xml:space="preserve">tariff </w:t>
      </w:r>
      <w:r w:rsidR="00417FDA" w:rsidRPr="00FA4313">
        <w:rPr>
          <w:rFonts w:ascii="Times New Roman" w:hAnsi="Times New Roman" w:cs="Times New Roman"/>
          <w:sz w:val="24"/>
          <w:szCs w:val="24"/>
        </w:rPr>
        <w:t>decrease</w:t>
      </w:r>
      <w:r w:rsidRPr="00FA4313">
        <w:rPr>
          <w:rFonts w:ascii="Times New Roman" w:hAnsi="Times New Roman" w:cs="Times New Roman"/>
          <w:sz w:val="24"/>
          <w:szCs w:val="24"/>
        </w:rPr>
        <w:t>.</w:t>
      </w:r>
      <w:r w:rsidR="00CC6872" w:rsidRPr="00FA4313">
        <w:rPr>
          <w:rFonts w:ascii="Times New Roman" w:hAnsi="Times New Roman" w:cs="Times New Roman"/>
          <w:sz w:val="24"/>
          <w:szCs w:val="24"/>
        </w:rPr>
        <w:t xml:space="preserve"> </w:t>
      </w:r>
      <w:r w:rsidR="00A755A3" w:rsidRPr="00FA4313">
        <w:rPr>
          <w:rFonts w:ascii="Times New Roman" w:hAnsi="Times New Roman" w:cs="Times New Roman"/>
          <w:b/>
          <w:sz w:val="24"/>
          <w:szCs w:val="24"/>
        </w:rPr>
        <w:t xml:space="preserve"> </w:t>
      </w:r>
    </w:p>
    <w:p w14:paraId="30BAB480" w14:textId="2E5AD0F6" w:rsidR="0015191F" w:rsidRPr="00FA4313" w:rsidRDefault="00400B53" w:rsidP="00FA4313">
      <w:pPr>
        <w:spacing w:after="0" w:line="240" w:lineRule="auto"/>
        <w:jc w:val="both"/>
        <w:rPr>
          <w:rFonts w:ascii="Times New Roman" w:hAnsi="Times New Roman" w:cs="Times New Roman"/>
          <w:sz w:val="24"/>
          <w:szCs w:val="24"/>
        </w:rPr>
      </w:pPr>
      <w:r w:rsidRPr="00FA4313">
        <w:rPr>
          <w:rFonts w:ascii="Times New Roman" w:hAnsi="Times New Roman" w:cs="Times New Roman"/>
          <w:sz w:val="24"/>
          <w:szCs w:val="24"/>
        </w:rPr>
        <w:t xml:space="preserve">In sum, </w:t>
      </w:r>
      <w:r w:rsidR="008F32C3" w:rsidRPr="00FA4313">
        <w:rPr>
          <w:rFonts w:ascii="Times New Roman" w:hAnsi="Times New Roman" w:cs="Times New Roman"/>
          <w:sz w:val="24"/>
          <w:szCs w:val="24"/>
        </w:rPr>
        <w:t xml:space="preserve">based on the evidence, </w:t>
      </w:r>
      <w:r w:rsidRPr="00FA4313">
        <w:rPr>
          <w:rFonts w:ascii="Times New Roman" w:hAnsi="Times New Roman" w:cs="Times New Roman"/>
          <w:sz w:val="24"/>
          <w:szCs w:val="24"/>
        </w:rPr>
        <w:t xml:space="preserve">our </w:t>
      </w:r>
      <w:r w:rsidR="008F32C3" w:rsidRPr="00FA4313">
        <w:rPr>
          <w:rFonts w:ascii="Times New Roman" w:hAnsi="Times New Roman" w:cs="Times New Roman"/>
          <w:sz w:val="24"/>
          <w:szCs w:val="24"/>
        </w:rPr>
        <w:t xml:space="preserve">main recommendations are as follows.  First, </w:t>
      </w:r>
      <w:r w:rsidR="007320DD" w:rsidRPr="00FA4313">
        <w:rPr>
          <w:rFonts w:ascii="Times New Roman" w:hAnsi="Times New Roman" w:cs="Times New Roman"/>
          <w:sz w:val="24"/>
          <w:szCs w:val="24"/>
        </w:rPr>
        <w:t>there should be</w:t>
      </w:r>
      <w:r w:rsidRPr="00FA4313">
        <w:rPr>
          <w:rFonts w:ascii="Times New Roman" w:hAnsi="Times New Roman" w:cs="Times New Roman"/>
          <w:sz w:val="24"/>
          <w:szCs w:val="24"/>
        </w:rPr>
        <w:t xml:space="preserve"> a reduction in the RAB by R29 billion </w:t>
      </w:r>
      <w:r w:rsidR="008F32C3" w:rsidRPr="00FA4313">
        <w:rPr>
          <w:rFonts w:ascii="Times New Roman" w:hAnsi="Times New Roman" w:cs="Times New Roman"/>
          <w:sz w:val="24"/>
          <w:szCs w:val="24"/>
        </w:rPr>
        <w:t xml:space="preserve">and </w:t>
      </w:r>
      <w:r w:rsidR="008F74FB" w:rsidRPr="00FA4313">
        <w:rPr>
          <w:rFonts w:ascii="Times New Roman" w:hAnsi="Times New Roman" w:cs="Times New Roman"/>
          <w:sz w:val="24"/>
          <w:szCs w:val="24"/>
        </w:rPr>
        <w:t xml:space="preserve">this reduction </w:t>
      </w:r>
      <w:r w:rsidRPr="00FA4313">
        <w:rPr>
          <w:rFonts w:ascii="Times New Roman" w:hAnsi="Times New Roman" w:cs="Times New Roman"/>
          <w:sz w:val="24"/>
          <w:szCs w:val="24"/>
        </w:rPr>
        <w:t>may be phased</w:t>
      </w:r>
      <w:r w:rsidR="00CD5902" w:rsidRPr="00FA4313">
        <w:rPr>
          <w:rFonts w:ascii="Times New Roman" w:hAnsi="Times New Roman" w:cs="Times New Roman"/>
          <w:sz w:val="24"/>
          <w:szCs w:val="24"/>
        </w:rPr>
        <w:t>,</w:t>
      </w:r>
      <w:r w:rsidR="008F32C3" w:rsidRPr="00FA4313">
        <w:rPr>
          <w:rFonts w:ascii="Times New Roman" w:hAnsi="Times New Roman" w:cs="Times New Roman"/>
          <w:sz w:val="24"/>
          <w:szCs w:val="24"/>
        </w:rPr>
        <w:t xml:space="preserve"> perhaps over two or three years. Second,</w:t>
      </w:r>
      <w:r w:rsidRPr="00FA4313">
        <w:rPr>
          <w:rFonts w:ascii="Times New Roman" w:hAnsi="Times New Roman" w:cs="Times New Roman"/>
          <w:sz w:val="24"/>
          <w:szCs w:val="24"/>
        </w:rPr>
        <w:t xml:space="preserve"> the use of an equitable tax rate of 15.5% </w:t>
      </w:r>
      <w:r w:rsidR="008F32C3" w:rsidRPr="00FA4313">
        <w:rPr>
          <w:rFonts w:ascii="Times New Roman" w:hAnsi="Times New Roman" w:cs="Times New Roman"/>
          <w:sz w:val="24"/>
          <w:szCs w:val="24"/>
        </w:rPr>
        <w:t xml:space="preserve">should be used as long as the NPA remains a division of Transnet. As soon as the NPA becomes a subsidiary of Transnet, then </w:t>
      </w:r>
      <w:r w:rsidRPr="00FA4313">
        <w:rPr>
          <w:rFonts w:ascii="Times New Roman" w:hAnsi="Times New Roman" w:cs="Times New Roman"/>
          <w:sz w:val="24"/>
          <w:szCs w:val="24"/>
        </w:rPr>
        <w:t>the corporate tax rate of 28%</w:t>
      </w:r>
      <w:r w:rsidR="008F32C3" w:rsidRPr="00FA4313">
        <w:rPr>
          <w:rFonts w:ascii="Times New Roman" w:hAnsi="Times New Roman" w:cs="Times New Roman"/>
          <w:sz w:val="24"/>
          <w:szCs w:val="24"/>
        </w:rPr>
        <w:t xml:space="preserve"> may be applied. Third, </w:t>
      </w:r>
      <w:r w:rsidRPr="00FA4313">
        <w:rPr>
          <w:rFonts w:ascii="Times New Roman" w:hAnsi="Times New Roman" w:cs="Times New Roman"/>
          <w:sz w:val="24"/>
          <w:szCs w:val="24"/>
        </w:rPr>
        <w:t xml:space="preserve">the asset beta </w:t>
      </w:r>
      <w:r w:rsidR="008F32C3" w:rsidRPr="00FA4313">
        <w:rPr>
          <w:rFonts w:ascii="Times New Roman" w:hAnsi="Times New Roman" w:cs="Times New Roman"/>
          <w:sz w:val="24"/>
          <w:szCs w:val="24"/>
        </w:rPr>
        <w:t xml:space="preserve">should be set </w:t>
      </w:r>
      <w:r w:rsidRPr="00FA4313">
        <w:rPr>
          <w:rFonts w:ascii="Times New Roman" w:hAnsi="Times New Roman" w:cs="Times New Roman"/>
          <w:sz w:val="24"/>
          <w:szCs w:val="24"/>
        </w:rPr>
        <w:t>to zero rather than the present 0</w:t>
      </w:r>
      <w:r w:rsidR="004C5A0A" w:rsidRPr="00FA4313">
        <w:rPr>
          <w:rFonts w:ascii="Times New Roman" w:hAnsi="Times New Roman" w:cs="Times New Roman"/>
          <w:sz w:val="24"/>
          <w:szCs w:val="24"/>
        </w:rPr>
        <w:t>.</w:t>
      </w:r>
      <w:r w:rsidRPr="00FA4313">
        <w:rPr>
          <w:rFonts w:ascii="Times New Roman" w:hAnsi="Times New Roman" w:cs="Times New Roman"/>
          <w:sz w:val="24"/>
          <w:szCs w:val="24"/>
        </w:rPr>
        <w:t>35</w:t>
      </w:r>
      <w:r w:rsidR="008F74FB" w:rsidRPr="00FA4313">
        <w:rPr>
          <w:rFonts w:ascii="Times New Roman" w:hAnsi="Times New Roman" w:cs="Times New Roman"/>
          <w:sz w:val="24"/>
          <w:szCs w:val="24"/>
        </w:rPr>
        <w:t xml:space="preserve">. </w:t>
      </w:r>
      <w:r w:rsidR="00B6041E" w:rsidRPr="00FA4313">
        <w:rPr>
          <w:rFonts w:ascii="Times New Roman" w:hAnsi="Times New Roman" w:cs="Times New Roman"/>
          <w:sz w:val="24"/>
          <w:szCs w:val="24"/>
        </w:rPr>
        <w:t xml:space="preserve">Finally, if the RAB, the Asset beta and the correct tax rate are applied, then there would be much less of a need to draw upon the ETIMC. As a result, this would contribute towards a more sustainable use of the ETIMC, ensuring that average tariff increases remain below inflation. </w:t>
      </w:r>
      <w:r w:rsidR="006B1741" w:rsidRPr="00FA4313">
        <w:rPr>
          <w:rFonts w:ascii="Times New Roman" w:hAnsi="Times New Roman" w:cs="Times New Roman"/>
          <w:sz w:val="24"/>
          <w:szCs w:val="24"/>
        </w:rPr>
        <w:t xml:space="preserve">Implementing these recommendations should result in a real decrease in NPA tariffs, particularly cargo dues, hence benefiting port users and contributing to the goals of the PRSA and the NPA.  </w:t>
      </w:r>
      <w:r w:rsidR="008F32C3" w:rsidRPr="00FA4313">
        <w:rPr>
          <w:rFonts w:ascii="Times New Roman" w:hAnsi="Times New Roman" w:cs="Times New Roman"/>
          <w:sz w:val="24"/>
          <w:szCs w:val="24"/>
        </w:rPr>
        <w:t xml:space="preserve">Indeed, </w:t>
      </w:r>
      <w:r w:rsidR="00942D51" w:rsidRPr="00FA4313">
        <w:rPr>
          <w:rFonts w:ascii="Times New Roman" w:hAnsi="Times New Roman" w:cs="Times New Roman"/>
          <w:sz w:val="24"/>
          <w:szCs w:val="24"/>
        </w:rPr>
        <w:t xml:space="preserve">our calculations showed in </w:t>
      </w:r>
      <w:r w:rsidR="008F32C3" w:rsidRPr="00FA4313">
        <w:rPr>
          <w:rFonts w:ascii="Times New Roman" w:hAnsi="Times New Roman" w:cs="Times New Roman"/>
          <w:sz w:val="24"/>
          <w:szCs w:val="24"/>
        </w:rPr>
        <w:t xml:space="preserve">Scenario five that it is even possible to reduce the </w:t>
      </w:r>
      <w:r w:rsidR="0062665D" w:rsidRPr="00FA4313">
        <w:rPr>
          <w:rFonts w:ascii="Times New Roman" w:hAnsi="Times New Roman" w:cs="Times New Roman"/>
          <w:sz w:val="24"/>
          <w:szCs w:val="24"/>
        </w:rPr>
        <w:t xml:space="preserve">NPA </w:t>
      </w:r>
      <w:r w:rsidR="008F32C3" w:rsidRPr="00FA4313">
        <w:rPr>
          <w:rFonts w:ascii="Times New Roman" w:hAnsi="Times New Roman" w:cs="Times New Roman"/>
          <w:sz w:val="24"/>
          <w:szCs w:val="24"/>
        </w:rPr>
        <w:t xml:space="preserve">weighted average tariff by 20.32%. </w:t>
      </w:r>
      <w:r w:rsidR="009306FC" w:rsidRPr="00FA4313">
        <w:rPr>
          <w:rFonts w:ascii="Times New Roman" w:hAnsi="Times New Roman" w:cs="Times New Roman"/>
          <w:sz w:val="24"/>
          <w:szCs w:val="24"/>
        </w:rPr>
        <w:t>Such reductions in port charges are not only justifiable, but also desirable as it promotes the feasibility</w:t>
      </w:r>
      <w:r w:rsidR="007C507D" w:rsidRPr="00FA4313">
        <w:rPr>
          <w:rFonts w:ascii="Times New Roman" w:hAnsi="Times New Roman" w:cs="Times New Roman"/>
          <w:sz w:val="24"/>
          <w:szCs w:val="24"/>
        </w:rPr>
        <w:t>, sustainability</w:t>
      </w:r>
      <w:r w:rsidR="009306FC" w:rsidRPr="00FA4313">
        <w:rPr>
          <w:rFonts w:ascii="Times New Roman" w:hAnsi="Times New Roman" w:cs="Times New Roman"/>
          <w:sz w:val="24"/>
          <w:szCs w:val="24"/>
        </w:rPr>
        <w:t xml:space="preserve"> and competitiveness of </w:t>
      </w:r>
      <w:r w:rsidR="007C507D" w:rsidRPr="00FA4313">
        <w:rPr>
          <w:rFonts w:ascii="Times New Roman" w:hAnsi="Times New Roman" w:cs="Times New Roman"/>
          <w:sz w:val="24"/>
          <w:szCs w:val="24"/>
        </w:rPr>
        <w:t xml:space="preserve">companies that </w:t>
      </w:r>
      <w:r w:rsidR="009306FC" w:rsidRPr="00FA4313">
        <w:rPr>
          <w:rFonts w:ascii="Times New Roman" w:hAnsi="Times New Roman" w:cs="Times New Roman"/>
          <w:sz w:val="24"/>
          <w:szCs w:val="24"/>
        </w:rPr>
        <w:t>trade through South Africa’s ports</w:t>
      </w:r>
      <w:r w:rsidR="00CD5902" w:rsidRPr="00FA4313">
        <w:rPr>
          <w:rFonts w:ascii="Times New Roman" w:hAnsi="Times New Roman" w:cs="Times New Roman"/>
          <w:sz w:val="24"/>
          <w:szCs w:val="24"/>
        </w:rPr>
        <w:t>, especially post-COVID as part of the recovery path of the local supply chains.</w:t>
      </w:r>
    </w:p>
    <w:p w14:paraId="6D0F3B97" w14:textId="77777777" w:rsidR="0015191F" w:rsidRPr="00FA4313" w:rsidRDefault="0015191F" w:rsidP="00FA4313">
      <w:pPr>
        <w:suppressLineNumbers/>
        <w:spacing w:after="0" w:line="240" w:lineRule="auto"/>
        <w:rPr>
          <w:rFonts w:ascii="Times New Roman" w:hAnsi="Times New Roman" w:cs="Times New Roman"/>
          <w:sz w:val="24"/>
          <w:szCs w:val="24"/>
        </w:rPr>
      </w:pPr>
      <w:r w:rsidRPr="00FA4313">
        <w:rPr>
          <w:rFonts w:ascii="Times New Roman" w:hAnsi="Times New Roman" w:cs="Times New Roman"/>
          <w:sz w:val="24"/>
          <w:szCs w:val="24"/>
        </w:rPr>
        <w:br w:type="page"/>
      </w:r>
    </w:p>
    <w:p w14:paraId="46744F38" w14:textId="10800D31" w:rsidR="0029616D" w:rsidRPr="00FA4313" w:rsidRDefault="009420E4" w:rsidP="0029616D">
      <w:pPr>
        <w:spacing w:after="0" w:line="240" w:lineRule="auto"/>
        <w:rPr>
          <w:rFonts w:ascii="Times New Roman" w:hAnsi="Times New Roman" w:cs="Times New Roman"/>
          <w:sz w:val="24"/>
          <w:szCs w:val="24"/>
        </w:rPr>
      </w:pPr>
      <w:r w:rsidRPr="00FA4313">
        <w:rPr>
          <w:rFonts w:ascii="Times New Roman" w:hAnsi="Times New Roman" w:cs="Times New Roman"/>
          <w:sz w:val="24"/>
          <w:szCs w:val="24"/>
        </w:rPr>
        <w:lastRenderedPageBreak/>
        <w:t xml:space="preserve">  </w:t>
      </w:r>
    </w:p>
    <w:p w14:paraId="5171DB28" w14:textId="2E150B0E" w:rsidR="00C81362" w:rsidRPr="00FA4313" w:rsidRDefault="00C81362" w:rsidP="00FA4313">
      <w:pPr>
        <w:suppressLineNumbers/>
        <w:spacing w:after="0" w:line="240" w:lineRule="auto"/>
        <w:rPr>
          <w:rFonts w:ascii="Times New Roman" w:hAnsi="Times New Roman" w:cs="Times New Roman"/>
          <w:sz w:val="24"/>
          <w:szCs w:val="24"/>
        </w:rPr>
      </w:pPr>
    </w:p>
    <w:p w14:paraId="1D56AC8C" w14:textId="77777777" w:rsidR="00E9220A" w:rsidRPr="00FA4313" w:rsidRDefault="00A656F0" w:rsidP="00FA4313">
      <w:pPr>
        <w:spacing w:after="0" w:line="240" w:lineRule="auto"/>
        <w:rPr>
          <w:rFonts w:ascii="Times New Roman" w:hAnsi="Times New Roman" w:cs="Times New Roman"/>
          <w:b/>
          <w:sz w:val="24"/>
          <w:szCs w:val="24"/>
        </w:rPr>
      </w:pPr>
      <w:r w:rsidRPr="00FA4313">
        <w:rPr>
          <w:rFonts w:ascii="Times New Roman" w:hAnsi="Times New Roman" w:cs="Times New Roman"/>
          <w:b/>
          <w:sz w:val="24"/>
          <w:szCs w:val="24"/>
        </w:rPr>
        <w:t>References:</w:t>
      </w:r>
    </w:p>
    <w:p w14:paraId="21262D1C" w14:textId="77777777" w:rsidR="00E9220A" w:rsidRPr="00FA4313" w:rsidRDefault="00E9220A" w:rsidP="00FA4313">
      <w:pPr>
        <w:spacing w:after="0" w:line="240" w:lineRule="auto"/>
        <w:rPr>
          <w:rFonts w:ascii="Times New Roman" w:hAnsi="Times New Roman" w:cs="Times New Roman"/>
          <w:b/>
          <w:sz w:val="24"/>
          <w:szCs w:val="24"/>
        </w:rPr>
      </w:pPr>
    </w:p>
    <w:p w14:paraId="509D5221" w14:textId="2B928D2A" w:rsidR="00E9220A" w:rsidRPr="00FA4313" w:rsidRDefault="00A656F0" w:rsidP="00FA4313">
      <w:pPr>
        <w:spacing w:after="0" w:line="240" w:lineRule="auto"/>
        <w:ind w:left="720" w:hanging="720"/>
        <w:rPr>
          <w:rFonts w:ascii="Times New Roman" w:hAnsi="Times New Roman" w:cs="Times New Roman"/>
          <w:sz w:val="24"/>
          <w:szCs w:val="24"/>
        </w:rPr>
      </w:pPr>
      <w:r w:rsidRPr="00FA4313">
        <w:rPr>
          <w:rFonts w:ascii="Times New Roman" w:hAnsi="Times New Roman" w:cs="Times New Roman"/>
          <w:color w:val="111111"/>
          <w:sz w:val="24"/>
          <w:szCs w:val="24"/>
          <w:highlight w:val="white"/>
        </w:rPr>
        <w:t xml:space="preserve">Baldwin, R. and Freeman, R. 2020. Supply chain contagion waves: Thinking ahead on manufacturing ‘contagion and reinfection’ from the COVID concussion. </w:t>
      </w:r>
      <w:hyperlink r:id="rId15">
        <w:r w:rsidRPr="00FA4313">
          <w:rPr>
            <w:rFonts w:ascii="Times New Roman" w:hAnsi="Times New Roman" w:cs="Times New Roman"/>
            <w:color w:val="1A80B6"/>
            <w:sz w:val="24"/>
            <w:szCs w:val="24"/>
            <w:highlight w:val="white"/>
          </w:rPr>
          <w:t>https://voxeu.org/article/covid-concussion-and-supply-chain-contagion-waves</w:t>
        </w:r>
      </w:hyperlink>
      <w:r w:rsidRPr="00FA4313">
        <w:rPr>
          <w:rFonts w:ascii="Times New Roman" w:hAnsi="Times New Roman" w:cs="Times New Roman"/>
          <w:sz w:val="24"/>
          <w:szCs w:val="24"/>
        </w:rPr>
        <w:t>.</w:t>
      </w:r>
      <w:r w:rsidR="008E1CAE" w:rsidRPr="00FA4313">
        <w:rPr>
          <w:rFonts w:ascii="Times New Roman" w:hAnsi="Times New Roman" w:cs="Times New Roman"/>
          <w:sz w:val="24"/>
          <w:szCs w:val="24"/>
        </w:rPr>
        <w:t xml:space="preserve"> Accessed on: 23 August 2021.</w:t>
      </w:r>
    </w:p>
    <w:p w14:paraId="33E8D6C9" w14:textId="521F54CA"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Baldwin, R. and </w:t>
      </w:r>
      <w:proofErr w:type="spellStart"/>
      <w:r w:rsidRPr="00FA4313">
        <w:rPr>
          <w:rFonts w:ascii="Times New Roman" w:hAnsi="Times New Roman" w:cs="Times New Roman"/>
          <w:color w:val="222222"/>
          <w:sz w:val="24"/>
          <w:szCs w:val="24"/>
          <w:highlight w:val="white"/>
        </w:rPr>
        <w:t>Tomiura</w:t>
      </w:r>
      <w:proofErr w:type="spellEnd"/>
      <w:r w:rsidRPr="00FA4313">
        <w:rPr>
          <w:rFonts w:ascii="Times New Roman" w:hAnsi="Times New Roman" w:cs="Times New Roman"/>
          <w:color w:val="222222"/>
          <w:sz w:val="24"/>
          <w:szCs w:val="24"/>
          <w:highlight w:val="white"/>
        </w:rPr>
        <w:t>, E. 2020. Thinking ahead about the trade impact of COVID-19. </w:t>
      </w:r>
      <w:r w:rsidRPr="00FA4313">
        <w:rPr>
          <w:rFonts w:ascii="Times New Roman" w:hAnsi="Times New Roman" w:cs="Times New Roman"/>
          <w:i/>
          <w:color w:val="222222"/>
          <w:sz w:val="24"/>
          <w:szCs w:val="24"/>
          <w:highlight w:val="white"/>
        </w:rPr>
        <w:t>Economics in the Time of COVID-19</w:t>
      </w:r>
      <w:r w:rsidRPr="00FA4313">
        <w:rPr>
          <w:rFonts w:ascii="Times New Roman" w:hAnsi="Times New Roman" w:cs="Times New Roman"/>
          <w:color w:val="222222"/>
          <w:sz w:val="24"/>
          <w:szCs w:val="24"/>
          <w:highlight w:val="white"/>
        </w:rPr>
        <w:t>, </w:t>
      </w:r>
      <w:r w:rsidRPr="00FA4313">
        <w:rPr>
          <w:rFonts w:ascii="Times New Roman" w:hAnsi="Times New Roman" w:cs="Times New Roman"/>
          <w:i/>
          <w:color w:val="222222"/>
          <w:sz w:val="24"/>
          <w:szCs w:val="24"/>
          <w:highlight w:val="white"/>
        </w:rPr>
        <w:t>59</w:t>
      </w:r>
      <w:r w:rsidRPr="00FA4313">
        <w:rPr>
          <w:rFonts w:ascii="Times New Roman" w:hAnsi="Times New Roman" w:cs="Times New Roman"/>
          <w:color w:val="222222"/>
          <w:sz w:val="24"/>
          <w:szCs w:val="24"/>
          <w:highlight w:val="white"/>
        </w:rPr>
        <w:t>.</w:t>
      </w:r>
    </w:p>
    <w:p w14:paraId="0FA08421" w14:textId="3826990C" w:rsidR="008E1CAE" w:rsidRPr="00FA4313" w:rsidRDefault="008E1CAE" w:rsidP="00FA4313">
      <w:pPr>
        <w:spacing w:after="0" w:line="240" w:lineRule="auto"/>
        <w:ind w:left="720" w:hanging="720"/>
        <w:rPr>
          <w:rFonts w:ascii="Times New Roman" w:hAnsi="Times New Roman" w:cs="Times New Roman"/>
          <w:color w:val="222222"/>
          <w:sz w:val="24"/>
          <w:szCs w:val="24"/>
          <w:highlight w:val="white"/>
        </w:rPr>
      </w:pPr>
      <w:r w:rsidRPr="00FA4313">
        <w:rPr>
          <w:rFonts w:ascii="Times New Roman" w:hAnsi="Times New Roman" w:cs="Times New Roman"/>
          <w:sz w:val="24"/>
          <w:szCs w:val="24"/>
        </w:rPr>
        <w:t xml:space="preserve">Bezuidenhout, J., 2020. Covid-19 lockdown: A moving target for importers. </w:t>
      </w:r>
      <w:hyperlink r:id="rId16">
        <w:r w:rsidRPr="00FA4313">
          <w:rPr>
            <w:rFonts w:ascii="Times New Roman" w:hAnsi="Times New Roman" w:cs="Times New Roman"/>
            <w:color w:val="0563C1"/>
            <w:sz w:val="24"/>
            <w:szCs w:val="24"/>
            <w:u w:val="single"/>
          </w:rPr>
          <w:t>https://www.dailymaverick.co.za/article/2020-03-25-covid19-lockdown-a-moving-target-for-importers/</w:t>
        </w:r>
      </w:hyperlink>
      <w:r w:rsidR="003859A7" w:rsidRPr="00FA4313">
        <w:rPr>
          <w:rFonts w:ascii="Times New Roman" w:hAnsi="Times New Roman" w:cs="Times New Roman"/>
          <w:color w:val="0563C1"/>
          <w:sz w:val="24"/>
          <w:szCs w:val="24"/>
          <w:u w:val="single"/>
        </w:rPr>
        <w:t xml:space="preserve"> </w:t>
      </w:r>
      <w:r w:rsidR="003859A7" w:rsidRPr="00FA4313">
        <w:rPr>
          <w:rFonts w:ascii="Times New Roman" w:hAnsi="Times New Roman" w:cs="Times New Roman"/>
          <w:sz w:val="24"/>
          <w:szCs w:val="24"/>
        </w:rPr>
        <w:t>Accessed on: 23 August 2021.</w:t>
      </w:r>
    </w:p>
    <w:p w14:paraId="23662E9E" w14:textId="77777777" w:rsidR="00C0477F" w:rsidRPr="00FA4313" w:rsidRDefault="00C0477F" w:rsidP="00FA4313">
      <w:pPr>
        <w:spacing w:after="0" w:line="240" w:lineRule="auto"/>
        <w:ind w:left="720" w:hanging="720"/>
        <w:rPr>
          <w:rFonts w:ascii="Times New Roman" w:hAnsi="Times New Roman" w:cs="Times New Roman"/>
          <w:color w:val="222222"/>
          <w:sz w:val="24"/>
          <w:szCs w:val="24"/>
        </w:rPr>
      </w:pPr>
      <w:proofErr w:type="spellStart"/>
      <w:r w:rsidRPr="00FA4313">
        <w:rPr>
          <w:rFonts w:ascii="Times New Roman" w:hAnsi="Times New Roman" w:cs="Times New Roman"/>
          <w:color w:val="222222"/>
          <w:sz w:val="24"/>
          <w:szCs w:val="24"/>
        </w:rPr>
        <w:t>Chasomeris</w:t>
      </w:r>
      <w:proofErr w:type="spellEnd"/>
      <w:r w:rsidRPr="00FA4313">
        <w:rPr>
          <w:rFonts w:ascii="Times New Roman" w:hAnsi="Times New Roman" w:cs="Times New Roman"/>
          <w:color w:val="222222"/>
          <w:sz w:val="24"/>
          <w:szCs w:val="24"/>
        </w:rPr>
        <w:t xml:space="preserve">, M. (2015) Port Infrastructure Pricing: A Critique of the Revenue Required Methodology. International Journal of Transport Economics. Vol. XLII. No2. June 2015. pp 153-170. Publisher: Fabrizio Serra </w:t>
      </w:r>
      <w:proofErr w:type="spellStart"/>
      <w:r w:rsidRPr="00FA4313">
        <w:rPr>
          <w:rFonts w:ascii="Times New Roman" w:hAnsi="Times New Roman" w:cs="Times New Roman"/>
          <w:color w:val="222222"/>
          <w:sz w:val="24"/>
          <w:szCs w:val="24"/>
        </w:rPr>
        <w:t>editore</w:t>
      </w:r>
      <w:proofErr w:type="spellEnd"/>
      <w:r w:rsidRPr="00FA4313">
        <w:rPr>
          <w:rFonts w:ascii="Times New Roman" w:hAnsi="Times New Roman" w:cs="Times New Roman"/>
          <w:color w:val="222222"/>
          <w:sz w:val="24"/>
          <w:szCs w:val="24"/>
        </w:rPr>
        <w:t>: Rome.</w:t>
      </w:r>
    </w:p>
    <w:p w14:paraId="6DDA9E41" w14:textId="77D010A2" w:rsidR="00C0477F" w:rsidRPr="00FA4313" w:rsidRDefault="00C0477F" w:rsidP="00FA4313">
      <w:pPr>
        <w:spacing w:after="0" w:line="240" w:lineRule="auto"/>
        <w:ind w:left="720" w:hanging="720"/>
        <w:rPr>
          <w:rFonts w:ascii="Times New Roman" w:hAnsi="Times New Roman" w:cs="Times New Roman"/>
          <w:color w:val="222222"/>
          <w:sz w:val="24"/>
          <w:szCs w:val="24"/>
          <w:highlight w:val="white"/>
        </w:rPr>
      </w:pPr>
      <w:proofErr w:type="spellStart"/>
      <w:r w:rsidRPr="00FA4313">
        <w:rPr>
          <w:rFonts w:ascii="Times New Roman" w:hAnsi="Times New Roman" w:cs="Times New Roman"/>
          <w:color w:val="222222"/>
          <w:sz w:val="24"/>
          <w:szCs w:val="24"/>
        </w:rPr>
        <w:t>Chasomeris</w:t>
      </w:r>
      <w:proofErr w:type="spellEnd"/>
      <w:r w:rsidRPr="00FA4313">
        <w:rPr>
          <w:rFonts w:ascii="Times New Roman" w:hAnsi="Times New Roman" w:cs="Times New Roman"/>
          <w:color w:val="222222"/>
          <w:sz w:val="24"/>
          <w:szCs w:val="24"/>
        </w:rPr>
        <w:t>, M. (2020) Comments on the National Ports Authority Revenue Required Tariff Methodology 2021/22 and Beyond, at the Ports Regulator of South Africa Workshop, Umhlanga, 5 February 2020. Available at: https://www.portsregulator.org/doc/UKZN-Chasomeris-Port-Tariff-Methodology-2021-22-and-Beyond.pdf. Accessed on</w:t>
      </w:r>
      <w:r w:rsidR="00EE63D4" w:rsidRPr="00FA4313">
        <w:rPr>
          <w:rFonts w:ascii="Times New Roman" w:hAnsi="Times New Roman" w:cs="Times New Roman"/>
          <w:color w:val="222222"/>
          <w:sz w:val="24"/>
          <w:szCs w:val="24"/>
        </w:rPr>
        <w:t>:</w:t>
      </w:r>
      <w:r w:rsidRPr="00FA4313">
        <w:rPr>
          <w:rFonts w:ascii="Times New Roman" w:hAnsi="Times New Roman" w:cs="Times New Roman"/>
          <w:color w:val="222222"/>
          <w:sz w:val="24"/>
          <w:szCs w:val="24"/>
        </w:rPr>
        <w:t xml:space="preserve"> 15</w:t>
      </w:r>
      <w:r w:rsidR="00F864F2" w:rsidRPr="00FA4313">
        <w:rPr>
          <w:rFonts w:ascii="Times New Roman" w:hAnsi="Times New Roman" w:cs="Times New Roman"/>
          <w:color w:val="222222"/>
          <w:sz w:val="24"/>
          <w:szCs w:val="24"/>
        </w:rPr>
        <w:t xml:space="preserve"> May </w:t>
      </w:r>
      <w:r w:rsidRPr="00FA4313">
        <w:rPr>
          <w:rFonts w:ascii="Times New Roman" w:hAnsi="Times New Roman" w:cs="Times New Roman"/>
          <w:color w:val="222222"/>
          <w:sz w:val="24"/>
          <w:szCs w:val="24"/>
        </w:rPr>
        <w:t>2021.</w:t>
      </w:r>
    </w:p>
    <w:p w14:paraId="76F62756" w14:textId="35D677F7" w:rsidR="00DD77BD" w:rsidRPr="00FA4313" w:rsidRDefault="00DD77BD" w:rsidP="00FA4313">
      <w:pPr>
        <w:spacing w:after="0" w:line="240" w:lineRule="auto"/>
        <w:ind w:left="720" w:hanging="720"/>
        <w:rPr>
          <w:rFonts w:ascii="Times New Roman" w:hAnsi="Times New Roman" w:cs="Times New Roman"/>
          <w:color w:val="222222"/>
          <w:sz w:val="24"/>
          <w:szCs w:val="24"/>
        </w:rPr>
      </w:pPr>
      <w:proofErr w:type="spellStart"/>
      <w:r w:rsidRPr="00FA4313">
        <w:rPr>
          <w:rFonts w:ascii="Times New Roman" w:hAnsi="Times New Roman" w:cs="Times New Roman"/>
          <w:color w:val="222222"/>
          <w:sz w:val="24"/>
          <w:szCs w:val="24"/>
        </w:rPr>
        <w:t>Chasomeris</w:t>
      </w:r>
      <w:proofErr w:type="spellEnd"/>
      <w:r w:rsidRPr="00FA4313">
        <w:rPr>
          <w:rFonts w:ascii="Times New Roman" w:hAnsi="Times New Roman" w:cs="Times New Roman"/>
          <w:color w:val="222222"/>
          <w:sz w:val="24"/>
          <w:szCs w:val="24"/>
        </w:rPr>
        <w:t xml:space="preserve"> M., Gumede S. (2022) Regulation, Governance and Infrastructure Pricing in South Africa’s Ports Sector. In: Ferrari C., </w:t>
      </w:r>
      <w:proofErr w:type="spellStart"/>
      <w:r w:rsidRPr="00FA4313">
        <w:rPr>
          <w:rFonts w:ascii="Times New Roman" w:hAnsi="Times New Roman" w:cs="Times New Roman"/>
          <w:color w:val="222222"/>
          <w:sz w:val="24"/>
          <w:szCs w:val="24"/>
        </w:rPr>
        <w:t>Haralambides</w:t>
      </w:r>
      <w:proofErr w:type="spellEnd"/>
      <w:r w:rsidRPr="00FA4313">
        <w:rPr>
          <w:rFonts w:ascii="Times New Roman" w:hAnsi="Times New Roman" w:cs="Times New Roman"/>
          <w:color w:val="222222"/>
          <w:sz w:val="24"/>
          <w:szCs w:val="24"/>
        </w:rPr>
        <w:t xml:space="preserve"> H., Prete S., Tei A. (eds) Regulation and Finance in the Port Industry. Palgrave Studies in Maritime Economics. Palgrave Macmillan, Cham. https://doi.org/10.1007/978-3-030-83985-7_4</w:t>
      </w:r>
      <w:r w:rsidR="003859A7" w:rsidRPr="00FA4313">
        <w:rPr>
          <w:rFonts w:ascii="Times New Roman" w:hAnsi="Times New Roman" w:cs="Times New Roman"/>
          <w:color w:val="222222"/>
          <w:sz w:val="24"/>
          <w:szCs w:val="24"/>
        </w:rPr>
        <w:t>.</w:t>
      </w:r>
    </w:p>
    <w:p w14:paraId="026A29A7" w14:textId="77777777"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Cullinane, K. and </w:t>
      </w:r>
      <w:proofErr w:type="spellStart"/>
      <w:r w:rsidRPr="00FA4313">
        <w:rPr>
          <w:rFonts w:ascii="Times New Roman" w:hAnsi="Times New Roman" w:cs="Times New Roman"/>
          <w:color w:val="222222"/>
          <w:sz w:val="24"/>
          <w:szCs w:val="24"/>
          <w:highlight w:val="white"/>
        </w:rPr>
        <w:t>Haralambides</w:t>
      </w:r>
      <w:proofErr w:type="spellEnd"/>
      <w:r w:rsidRPr="00FA4313">
        <w:rPr>
          <w:rFonts w:ascii="Times New Roman" w:hAnsi="Times New Roman" w:cs="Times New Roman"/>
          <w:color w:val="222222"/>
          <w:sz w:val="24"/>
          <w:szCs w:val="24"/>
          <w:highlight w:val="white"/>
        </w:rPr>
        <w:t xml:space="preserve">, H. 2021. Global trends in maritime and port economics: the COVID-19 pandemic and beyond. </w:t>
      </w:r>
      <w:r w:rsidRPr="00FA4313">
        <w:rPr>
          <w:rFonts w:ascii="Times New Roman" w:hAnsi="Times New Roman" w:cs="Times New Roman"/>
          <w:i/>
          <w:color w:val="222222"/>
          <w:sz w:val="24"/>
          <w:szCs w:val="24"/>
          <w:highlight w:val="white"/>
        </w:rPr>
        <w:t>Maritime Economics &amp; Logistics</w:t>
      </w:r>
      <w:r w:rsidRPr="00FA4313">
        <w:rPr>
          <w:rFonts w:ascii="Times New Roman" w:hAnsi="Times New Roman" w:cs="Times New Roman"/>
          <w:color w:val="222222"/>
          <w:sz w:val="24"/>
          <w:szCs w:val="24"/>
          <w:highlight w:val="white"/>
        </w:rPr>
        <w:t xml:space="preserve">, 23:369-380. </w:t>
      </w:r>
    </w:p>
    <w:p w14:paraId="6EB737F7" w14:textId="1C352AAD"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Drewry. 2021. Industry at a glance: World Container Index. </w:t>
      </w:r>
      <w:hyperlink r:id="rId17">
        <w:r w:rsidRPr="00FA4313">
          <w:rPr>
            <w:rFonts w:ascii="Times New Roman" w:hAnsi="Times New Roman" w:cs="Times New Roman"/>
            <w:color w:val="0563C1"/>
            <w:sz w:val="24"/>
            <w:szCs w:val="24"/>
            <w:highlight w:val="white"/>
            <w:u w:val="single"/>
          </w:rPr>
          <w:t>https://www.drewry.co.uk/coronavirus-hub</w:t>
        </w:r>
      </w:hyperlink>
      <w:r w:rsidRPr="00FA4313">
        <w:rPr>
          <w:rFonts w:ascii="Times New Roman" w:hAnsi="Times New Roman" w:cs="Times New Roman"/>
          <w:color w:val="222222"/>
          <w:sz w:val="24"/>
          <w:szCs w:val="24"/>
          <w:highlight w:val="white"/>
        </w:rPr>
        <w:t>.</w:t>
      </w:r>
      <w:r w:rsidR="008E1CAE" w:rsidRPr="00FA4313">
        <w:rPr>
          <w:rFonts w:ascii="Times New Roman" w:hAnsi="Times New Roman" w:cs="Times New Roman"/>
          <w:color w:val="222222"/>
          <w:sz w:val="24"/>
          <w:szCs w:val="24"/>
          <w:highlight w:val="white"/>
        </w:rPr>
        <w:t xml:space="preserve"> </w:t>
      </w:r>
      <w:r w:rsidR="008E1CAE" w:rsidRPr="00FA4313">
        <w:rPr>
          <w:rFonts w:ascii="Times New Roman" w:hAnsi="Times New Roman" w:cs="Times New Roman"/>
          <w:sz w:val="24"/>
          <w:szCs w:val="24"/>
        </w:rPr>
        <w:t>Accessed on: 23 August 2021.</w:t>
      </w:r>
    </w:p>
    <w:sdt>
      <w:sdtPr>
        <w:rPr>
          <w:rFonts w:ascii="Times New Roman" w:hAnsi="Times New Roman" w:cs="Times New Roman"/>
          <w:sz w:val="24"/>
          <w:szCs w:val="24"/>
        </w:rPr>
        <w:tag w:val="goog_rdk_24"/>
        <w:id w:val="2074145318"/>
      </w:sdtPr>
      <w:sdtEndPr/>
      <w:sdtContent>
        <w:p w14:paraId="223A7479" w14:textId="77777777" w:rsidR="00E9220A" w:rsidRPr="00FA4313" w:rsidRDefault="009B5901" w:rsidP="00FA4313">
          <w:pPr>
            <w:spacing w:after="0" w:line="240" w:lineRule="auto"/>
            <w:ind w:left="720" w:hanging="720"/>
            <w:rPr>
              <w:rFonts w:ascii="Times New Roman" w:hAnsi="Times New Roman" w:cs="Times New Roman"/>
              <w:color w:val="222222"/>
              <w:sz w:val="24"/>
              <w:szCs w:val="24"/>
              <w:highlight w:val="white"/>
            </w:rPr>
          </w:pPr>
          <w:sdt>
            <w:sdtPr>
              <w:rPr>
                <w:rFonts w:ascii="Times New Roman" w:hAnsi="Times New Roman" w:cs="Times New Roman"/>
                <w:sz w:val="24"/>
                <w:szCs w:val="24"/>
              </w:rPr>
              <w:tag w:val="goog_rdk_23"/>
              <w:id w:val="498473730"/>
            </w:sdtPr>
            <w:sdtEndPr/>
            <w:sdtContent>
              <w:r w:rsidR="00A656F0" w:rsidRPr="00FA4313">
                <w:rPr>
                  <w:rFonts w:ascii="Times New Roman" w:hAnsi="Times New Roman" w:cs="Times New Roman"/>
                  <w:color w:val="222222"/>
                  <w:sz w:val="24"/>
                  <w:szCs w:val="24"/>
                  <w:highlight w:val="white"/>
                </w:rPr>
                <w:t xml:space="preserve">Gumede, S. and </w:t>
              </w:r>
              <w:proofErr w:type="spellStart"/>
              <w:r w:rsidR="00A656F0" w:rsidRPr="00FA4313">
                <w:rPr>
                  <w:rFonts w:ascii="Times New Roman" w:hAnsi="Times New Roman" w:cs="Times New Roman"/>
                  <w:color w:val="222222"/>
                  <w:sz w:val="24"/>
                  <w:szCs w:val="24"/>
                  <w:highlight w:val="white"/>
                </w:rPr>
                <w:t>Chasomeris</w:t>
              </w:r>
              <w:proofErr w:type="spellEnd"/>
              <w:r w:rsidR="00A656F0" w:rsidRPr="00FA4313">
                <w:rPr>
                  <w:rFonts w:ascii="Times New Roman" w:hAnsi="Times New Roman" w:cs="Times New Roman"/>
                  <w:color w:val="222222"/>
                  <w:sz w:val="24"/>
                  <w:szCs w:val="24"/>
                  <w:highlight w:val="white"/>
                </w:rPr>
                <w:t>, M. (2015). “Maritime Port Pricing and Governance: Trends and Stakeholder Comments”, Journal of Economic and Financial Sciences, 8:1, 47-62.</w:t>
              </w:r>
            </w:sdtContent>
          </w:sdt>
        </w:p>
      </w:sdtContent>
    </w:sdt>
    <w:sdt>
      <w:sdtPr>
        <w:rPr>
          <w:rFonts w:ascii="Times New Roman" w:hAnsi="Times New Roman" w:cs="Times New Roman"/>
          <w:sz w:val="24"/>
          <w:szCs w:val="24"/>
        </w:rPr>
        <w:tag w:val="goog_rdk_28"/>
        <w:id w:val="1011340283"/>
      </w:sdtPr>
      <w:sdtEndPr/>
      <w:sdtContent>
        <w:p w14:paraId="1CC58582" w14:textId="77777777" w:rsidR="00E9220A" w:rsidRPr="00FA4313" w:rsidRDefault="009B5901" w:rsidP="00FA4313">
          <w:pPr>
            <w:spacing w:after="0" w:line="240" w:lineRule="auto"/>
            <w:ind w:left="720" w:hanging="720"/>
            <w:rPr>
              <w:rFonts w:ascii="Times New Roman" w:hAnsi="Times New Roman" w:cs="Times New Roman"/>
              <w:color w:val="222222"/>
              <w:sz w:val="24"/>
              <w:szCs w:val="24"/>
              <w:highlight w:val="white"/>
            </w:rPr>
          </w:pPr>
          <w:sdt>
            <w:sdtPr>
              <w:rPr>
                <w:rFonts w:ascii="Times New Roman" w:hAnsi="Times New Roman" w:cs="Times New Roman"/>
                <w:sz w:val="24"/>
                <w:szCs w:val="24"/>
              </w:rPr>
              <w:tag w:val="goog_rdk_27"/>
              <w:id w:val="-1964730277"/>
            </w:sdtPr>
            <w:sdtEndPr/>
            <w:sdtContent>
              <w:r w:rsidR="00A656F0" w:rsidRPr="00FA4313">
                <w:rPr>
                  <w:rFonts w:ascii="Times New Roman" w:hAnsi="Times New Roman" w:cs="Times New Roman"/>
                  <w:color w:val="222222"/>
                  <w:sz w:val="24"/>
                  <w:szCs w:val="24"/>
                  <w:highlight w:val="white"/>
                </w:rPr>
                <w:t xml:space="preserve">Gumede, S. and </w:t>
              </w:r>
              <w:proofErr w:type="spellStart"/>
              <w:r w:rsidR="00A656F0" w:rsidRPr="00FA4313">
                <w:rPr>
                  <w:rFonts w:ascii="Times New Roman" w:hAnsi="Times New Roman" w:cs="Times New Roman"/>
                  <w:color w:val="222222"/>
                  <w:sz w:val="24"/>
                  <w:szCs w:val="24"/>
                  <w:highlight w:val="white"/>
                </w:rPr>
                <w:t>Chasomeris</w:t>
              </w:r>
              <w:proofErr w:type="spellEnd"/>
              <w:r w:rsidR="00A656F0" w:rsidRPr="00FA4313">
                <w:rPr>
                  <w:rFonts w:ascii="Times New Roman" w:hAnsi="Times New Roman" w:cs="Times New Roman"/>
                  <w:color w:val="222222"/>
                  <w:sz w:val="24"/>
                  <w:szCs w:val="24"/>
                  <w:highlight w:val="white"/>
                </w:rPr>
                <w:t>, M. (2017a). Regulation of South Africa’s Ports: Dilemmas and Reforms. International Association of Maritime Economists Conference. Kyoto, 27-30 June.</w:t>
              </w:r>
            </w:sdtContent>
          </w:sdt>
        </w:p>
      </w:sdtContent>
    </w:sdt>
    <w:sdt>
      <w:sdtPr>
        <w:rPr>
          <w:rFonts w:ascii="Times New Roman" w:hAnsi="Times New Roman" w:cs="Times New Roman"/>
          <w:sz w:val="24"/>
          <w:szCs w:val="24"/>
        </w:rPr>
        <w:tag w:val="goog_rdk_32"/>
        <w:id w:val="2124797731"/>
      </w:sdtPr>
      <w:sdtEndPr/>
      <w:sdtContent>
        <w:p w14:paraId="6274483E" w14:textId="77777777" w:rsidR="00E9220A" w:rsidRPr="00FA4313" w:rsidRDefault="009B5901" w:rsidP="00FA4313">
          <w:pPr>
            <w:spacing w:after="0" w:line="240" w:lineRule="auto"/>
            <w:ind w:left="720" w:hanging="720"/>
            <w:rPr>
              <w:rFonts w:ascii="Times New Roman" w:hAnsi="Times New Roman" w:cs="Times New Roman"/>
              <w:color w:val="222222"/>
              <w:sz w:val="24"/>
              <w:szCs w:val="24"/>
              <w:highlight w:val="white"/>
            </w:rPr>
          </w:pPr>
          <w:sdt>
            <w:sdtPr>
              <w:rPr>
                <w:rFonts w:ascii="Times New Roman" w:hAnsi="Times New Roman" w:cs="Times New Roman"/>
                <w:sz w:val="24"/>
                <w:szCs w:val="24"/>
              </w:rPr>
              <w:tag w:val="goog_rdk_31"/>
              <w:id w:val="-2083288483"/>
            </w:sdtPr>
            <w:sdtEndPr/>
            <w:sdtContent>
              <w:r w:rsidR="00A656F0" w:rsidRPr="00FA4313">
                <w:rPr>
                  <w:rFonts w:ascii="Times New Roman" w:hAnsi="Times New Roman" w:cs="Times New Roman"/>
                  <w:color w:val="222222"/>
                  <w:sz w:val="24"/>
                  <w:szCs w:val="24"/>
                  <w:highlight w:val="white"/>
                </w:rPr>
                <w:t xml:space="preserve">Gumede, S. and </w:t>
              </w:r>
              <w:proofErr w:type="spellStart"/>
              <w:r w:rsidR="00A656F0" w:rsidRPr="00FA4313">
                <w:rPr>
                  <w:rFonts w:ascii="Times New Roman" w:hAnsi="Times New Roman" w:cs="Times New Roman"/>
                  <w:color w:val="222222"/>
                  <w:sz w:val="24"/>
                  <w:szCs w:val="24"/>
                  <w:highlight w:val="white"/>
                </w:rPr>
                <w:t>Chasomeris</w:t>
              </w:r>
              <w:proofErr w:type="spellEnd"/>
              <w:r w:rsidR="00A656F0" w:rsidRPr="00FA4313">
                <w:rPr>
                  <w:rFonts w:ascii="Times New Roman" w:hAnsi="Times New Roman" w:cs="Times New Roman"/>
                  <w:color w:val="222222"/>
                  <w:sz w:val="24"/>
                  <w:szCs w:val="24"/>
                  <w:highlight w:val="white"/>
                </w:rPr>
                <w:t>, M. G. (2017b). A Critique of South Africa’s National Ports Authority’s Revenue Required Pricing Methodology. International Journal of Transport Economics, 44(4).</w:t>
              </w:r>
            </w:sdtContent>
          </w:sdt>
        </w:p>
      </w:sdtContent>
    </w:sdt>
    <w:p w14:paraId="1AD5733E" w14:textId="2E392994" w:rsidR="00DC271A" w:rsidRPr="00FA4313" w:rsidRDefault="009B5901" w:rsidP="00FA4313">
      <w:pPr>
        <w:spacing w:after="0" w:line="240" w:lineRule="auto"/>
        <w:ind w:left="720" w:hanging="720"/>
        <w:rPr>
          <w:rFonts w:ascii="Times New Roman" w:hAnsi="Times New Roman" w:cs="Times New Roman"/>
          <w:color w:val="222222"/>
          <w:sz w:val="24"/>
          <w:szCs w:val="24"/>
        </w:rPr>
      </w:pPr>
      <w:sdt>
        <w:sdtPr>
          <w:rPr>
            <w:rFonts w:ascii="Times New Roman" w:hAnsi="Times New Roman" w:cs="Times New Roman"/>
            <w:sz w:val="24"/>
            <w:szCs w:val="24"/>
          </w:rPr>
          <w:tag w:val="goog_rdk_35"/>
          <w:id w:val="636616940"/>
        </w:sdtPr>
        <w:sdtEndPr/>
        <w:sdtContent>
          <w:r w:rsidR="00A656F0" w:rsidRPr="00FA4313">
            <w:rPr>
              <w:rFonts w:ascii="Times New Roman" w:hAnsi="Times New Roman" w:cs="Times New Roman"/>
              <w:color w:val="222222"/>
              <w:sz w:val="24"/>
              <w:szCs w:val="24"/>
              <w:highlight w:val="white"/>
            </w:rPr>
            <w:t xml:space="preserve">Gumede, S. &amp; </w:t>
          </w:r>
          <w:proofErr w:type="spellStart"/>
          <w:r w:rsidR="00A656F0" w:rsidRPr="00FA4313">
            <w:rPr>
              <w:rFonts w:ascii="Times New Roman" w:hAnsi="Times New Roman" w:cs="Times New Roman"/>
              <w:color w:val="222222"/>
              <w:sz w:val="24"/>
              <w:szCs w:val="24"/>
              <w:highlight w:val="white"/>
            </w:rPr>
            <w:t>Chasomeris</w:t>
          </w:r>
          <w:proofErr w:type="spellEnd"/>
          <w:r w:rsidR="00A656F0" w:rsidRPr="00FA4313">
            <w:rPr>
              <w:rFonts w:ascii="Times New Roman" w:hAnsi="Times New Roman" w:cs="Times New Roman"/>
              <w:color w:val="222222"/>
              <w:sz w:val="24"/>
              <w:szCs w:val="24"/>
              <w:highlight w:val="white"/>
            </w:rPr>
            <w:t>, M. (2018). Pricing strategy and tariff structure for a port authority: a case study of South Africa. Maritime Policy &amp; Management, 45:6, 756-769</w:t>
          </w:r>
          <w:r w:rsidR="006C24E6" w:rsidRPr="00FA4313">
            <w:rPr>
              <w:rFonts w:ascii="Times New Roman" w:hAnsi="Times New Roman" w:cs="Times New Roman"/>
              <w:color w:val="222222"/>
              <w:sz w:val="24"/>
              <w:szCs w:val="24"/>
              <w:highlight w:val="white"/>
            </w:rPr>
            <w:t xml:space="preserve">, </w:t>
          </w:r>
        </w:sdtContent>
      </w:sdt>
      <w:r w:rsidR="00DC271A" w:rsidRPr="00FA4313">
        <w:rPr>
          <w:rFonts w:ascii="Times New Roman" w:hAnsi="Times New Roman" w:cs="Times New Roman"/>
          <w:color w:val="222222"/>
          <w:sz w:val="24"/>
          <w:szCs w:val="24"/>
        </w:rPr>
        <w:t>DOI: 10.1080/03088839.2018.1446103</w:t>
      </w:r>
      <w:r w:rsidR="00615FFA" w:rsidRPr="00FA4313">
        <w:rPr>
          <w:rFonts w:ascii="Times New Roman" w:hAnsi="Times New Roman" w:cs="Times New Roman"/>
          <w:color w:val="222222"/>
          <w:sz w:val="24"/>
          <w:szCs w:val="24"/>
        </w:rPr>
        <w:t>.</w:t>
      </w:r>
    </w:p>
    <w:p w14:paraId="1E5287C7" w14:textId="77777777" w:rsidR="008620C1" w:rsidRPr="00FA4313" w:rsidRDefault="008620C1" w:rsidP="00FA4313">
      <w:pPr>
        <w:spacing w:after="0" w:line="240" w:lineRule="auto"/>
        <w:ind w:left="720" w:hanging="720"/>
        <w:rPr>
          <w:rFonts w:ascii="Times New Roman" w:hAnsi="Times New Roman" w:cs="Times New Roman"/>
          <w:color w:val="222222"/>
          <w:sz w:val="24"/>
          <w:szCs w:val="24"/>
        </w:rPr>
      </w:pPr>
      <w:r w:rsidRPr="00FA4313">
        <w:rPr>
          <w:rFonts w:ascii="Times New Roman" w:hAnsi="Times New Roman" w:cs="Times New Roman"/>
          <w:color w:val="222222"/>
          <w:sz w:val="24"/>
          <w:szCs w:val="24"/>
        </w:rPr>
        <w:t xml:space="preserve">Fakir, M., and M. </w:t>
      </w:r>
      <w:proofErr w:type="spellStart"/>
      <w:r w:rsidRPr="00FA4313">
        <w:rPr>
          <w:rFonts w:ascii="Times New Roman" w:hAnsi="Times New Roman" w:cs="Times New Roman"/>
          <w:color w:val="222222"/>
          <w:sz w:val="24"/>
          <w:szCs w:val="24"/>
        </w:rPr>
        <w:t>Chasomeris</w:t>
      </w:r>
      <w:proofErr w:type="spellEnd"/>
      <w:r w:rsidRPr="00FA4313">
        <w:rPr>
          <w:rFonts w:ascii="Times New Roman" w:hAnsi="Times New Roman" w:cs="Times New Roman"/>
          <w:color w:val="222222"/>
          <w:sz w:val="24"/>
          <w:szCs w:val="24"/>
        </w:rPr>
        <w:t>. 2019. Ports regulation in South Africa: a new equitable tax rate approach. In Presented at International Association of Maritime Economics (IAME) conference, 25–28 June. Athens: Greece.</w:t>
      </w:r>
    </w:p>
    <w:p w14:paraId="40025988" w14:textId="1F2E2CE3" w:rsidR="00E9220A" w:rsidRPr="00FA4313" w:rsidRDefault="00A656F0" w:rsidP="00FA4313">
      <w:pPr>
        <w:spacing w:after="0" w:line="240" w:lineRule="auto"/>
        <w:ind w:left="720" w:hanging="720"/>
        <w:rPr>
          <w:rFonts w:ascii="Times New Roman" w:hAnsi="Times New Roman" w:cs="Times New Roman"/>
          <w:sz w:val="24"/>
          <w:szCs w:val="24"/>
        </w:rPr>
      </w:pPr>
      <w:r w:rsidRPr="00FA4313">
        <w:rPr>
          <w:rFonts w:ascii="Times New Roman" w:hAnsi="Times New Roman" w:cs="Times New Roman"/>
          <w:color w:val="222222"/>
          <w:sz w:val="24"/>
          <w:szCs w:val="24"/>
          <w:highlight w:val="white"/>
        </w:rPr>
        <w:t xml:space="preserve">Hoffman, J. 2021. How to cushion consumers from high maritime freight rates. </w:t>
      </w:r>
      <w:hyperlink r:id="rId18">
        <w:r w:rsidRPr="00FA4313">
          <w:rPr>
            <w:rFonts w:ascii="Times New Roman" w:hAnsi="Times New Roman" w:cs="Times New Roman"/>
            <w:color w:val="0563C1"/>
            <w:sz w:val="24"/>
            <w:szCs w:val="24"/>
            <w:u w:val="single"/>
          </w:rPr>
          <w:t>How to cushion consumers from high maritime freight rates | UNCTAD</w:t>
        </w:r>
      </w:hyperlink>
      <w:r w:rsidRPr="00FA4313">
        <w:rPr>
          <w:rFonts w:ascii="Times New Roman" w:hAnsi="Times New Roman" w:cs="Times New Roman"/>
          <w:sz w:val="24"/>
          <w:szCs w:val="24"/>
        </w:rPr>
        <w:t>.</w:t>
      </w:r>
      <w:r w:rsidR="008E1CAE" w:rsidRPr="00FA4313">
        <w:rPr>
          <w:rFonts w:ascii="Times New Roman" w:hAnsi="Times New Roman" w:cs="Times New Roman"/>
          <w:sz w:val="24"/>
          <w:szCs w:val="24"/>
        </w:rPr>
        <w:t xml:space="preserve"> Accessed on: 21 September 2021.</w:t>
      </w:r>
    </w:p>
    <w:p w14:paraId="472D2CF1" w14:textId="77777777" w:rsidR="00E9220A" w:rsidRPr="00FA4313" w:rsidRDefault="00A656F0" w:rsidP="00FA4313">
      <w:pPr>
        <w:spacing w:after="0" w:line="240" w:lineRule="auto"/>
        <w:ind w:left="720" w:hanging="720"/>
        <w:rPr>
          <w:rFonts w:ascii="Times New Roman" w:hAnsi="Times New Roman" w:cs="Times New Roman"/>
          <w:sz w:val="24"/>
          <w:szCs w:val="24"/>
        </w:rPr>
      </w:pPr>
      <w:r w:rsidRPr="00FA4313">
        <w:rPr>
          <w:rFonts w:ascii="Times New Roman" w:hAnsi="Times New Roman" w:cs="Times New Roman"/>
          <w:color w:val="222222"/>
          <w:sz w:val="24"/>
          <w:szCs w:val="24"/>
          <w:highlight w:val="white"/>
        </w:rPr>
        <w:t>Luke, R. 2020. The impact of COVID-2019 on transport in South Africa. </w:t>
      </w:r>
      <w:r w:rsidRPr="00FA4313">
        <w:rPr>
          <w:rFonts w:ascii="Times New Roman" w:hAnsi="Times New Roman" w:cs="Times New Roman"/>
          <w:i/>
          <w:color w:val="222222"/>
          <w:sz w:val="24"/>
          <w:szCs w:val="24"/>
          <w:highlight w:val="white"/>
        </w:rPr>
        <w:t>Journal of Transport and Supply Chain Management</w:t>
      </w:r>
      <w:r w:rsidRPr="00FA4313">
        <w:rPr>
          <w:rFonts w:ascii="Times New Roman" w:hAnsi="Times New Roman" w:cs="Times New Roman"/>
          <w:color w:val="222222"/>
          <w:sz w:val="24"/>
          <w:szCs w:val="24"/>
          <w:highlight w:val="white"/>
        </w:rPr>
        <w:t>, </w:t>
      </w:r>
      <w:r w:rsidRPr="00FA4313">
        <w:rPr>
          <w:rFonts w:ascii="Times New Roman" w:hAnsi="Times New Roman" w:cs="Times New Roman"/>
          <w:i/>
          <w:color w:val="222222"/>
          <w:sz w:val="24"/>
          <w:szCs w:val="24"/>
          <w:highlight w:val="white"/>
        </w:rPr>
        <w:t>14</w:t>
      </w:r>
      <w:r w:rsidRPr="00FA4313">
        <w:rPr>
          <w:rFonts w:ascii="Times New Roman" w:hAnsi="Times New Roman" w:cs="Times New Roman"/>
          <w:color w:val="222222"/>
          <w:sz w:val="24"/>
          <w:szCs w:val="24"/>
          <w:highlight w:val="white"/>
        </w:rPr>
        <w:t>(1), pp.1-5.</w:t>
      </w:r>
    </w:p>
    <w:p w14:paraId="4FF35B77" w14:textId="1A66A103"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proofErr w:type="spellStart"/>
      <w:r w:rsidRPr="00FA4313">
        <w:rPr>
          <w:rFonts w:ascii="Times New Roman" w:hAnsi="Times New Roman" w:cs="Times New Roman"/>
          <w:color w:val="222222"/>
          <w:sz w:val="24"/>
          <w:szCs w:val="24"/>
          <w:highlight w:val="white"/>
        </w:rPr>
        <w:t>Makokera</w:t>
      </w:r>
      <w:proofErr w:type="spellEnd"/>
      <w:r w:rsidRPr="00FA4313">
        <w:rPr>
          <w:rFonts w:ascii="Times New Roman" w:hAnsi="Times New Roman" w:cs="Times New Roman"/>
          <w:color w:val="222222"/>
          <w:sz w:val="24"/>
          <w:szCs w:val="24"/>
          <w:highlight w:val="white"/>
        </w:rPr>
        <w:t xml:space="preserve">, C.G. and </w:t>
      </w:r>
      <w:proofErr w:type="spellStart"/>
      <w:r w:rsidRPr="00FA4313">
        <w:rPr>
          <w:rFonts w:ascii="Times New Roman" w:hAnsi="Times New Roman" w:cs="Times New Roman"/>
          <w:color w:val="222222"/>
          <w:sz w:val="24"/>
          <w:szCs w:val="24"/>
          <w:highlight w:val="white"/>
        </w:rPr>
        <w:t>Makokera</w:t>
      </w:r>
      <w:proofErr w:type="spellEnd"/>
      <w:r w:rsidRPr="00FA4313">
        <w:rPr>
          <w:rFonts w:ascii="Times New Roman" w:hAnsi="Times New Roman" w:cs="Times New Roman"/>
          <w:color w:val="222222"/>
          <w:sz w:val="24"/>
          <w:szCs w:val="24"/>
          <w:highlight w:val="white"/>
        </w:rPr>
        <w:t xml:space="preserve">, M. 2020. South Africa’s trade policy post COVID-19. SAIIA Policy Briefing No 206, September. </w:t>
      </w:r>
      <w:hyperlink r:id="rId19">
        <w:r w:rsidRPr="00FA4313">
          <w:rPr>
            <w:rFonts w:ascii="Times New Roman" w:hAnsi="Times New Roman" w:cs="Times New Roman"/>
            <w:color w:val="0563C1"/>
            <w:sz w:val="24"/>
            <w:szCs w:val="24"/>
            <w:highlight w:val="white"/>
            <w:u w:val="single"/>
          </w:rPr>
          <w:t>https://saiia.org.za/research/south-africas-trade-policy-post-covid-19/</w:t>
        </w:r>
      </w:hyperlink>
      <w:r w:rsidR="008E1CAE" w:rsidRPr="00FA4313">
        <w:rPr>
          <w:rFonts w:ascii="Times New Roman" w:hAnsi="Times New Roman" w:cs="Times New Roman"/>
          <w:color w:val="0563C1"/>
          <w:sz w:val="24"/>
          <w:szCs w:val="24"/>
          <w:highlight w:val="white"/>
          <w:u w:val="single"/>
        </w:rPr>
        <w:t xml:space="preserve"> </w:t>
      </w:r>
      <w:r w:rsidR="008E1CAE" w:rsidRPr="00FA4313">
        <w:rPr>
          <w:rFonts w:ascii="Times New Roman" w:hAnsi="Times New Roman" w:cs="Times New Roman"/>
          <w:sz w:val="24"/>
          <w:szCs w:val="24"/>
        </w:rPr>
        <w:t>Accessed on: 20 October 2021.</w:t>
      </w:r>
    </w:p>
    <w:sdt>
      <w:sdtPr>
        <w:rPr>
          <w:rFonts w:ascii="Times New Roman" w:hAnsi="Times New Roman" w:cs="Times New Roman"/>
          <w:sz w:val="24"/>
          <w:szCs w:val="24"/>
        </w:rPr>
        <w:tag w:val="goog_rdk_38"/>
        <w:id w:val="-1103098516"/>
      </w:sdtPr>
      <w:sdtEndPr/>
      <w:sdtContent>
        <w:p w14:paraId="5A81726A" w14:textId="77777777" w:rsidR="00E9220A" w:rsidRPr="00FA4313" w:rsidRDefault="009B5901" w:rsidP="00FA4313">
          <w:pPr>
            <w:spacing w:after="0" w:line="240" w:lineRule="auto"/>
            <w:ind w:left="720" w:hanging="720"/>
            <w:rPr>
              <w:rFonts w:ascii="Times New Roman" w:hAnsi="Times New Roman" w:cs="Times New Roman"/>
              <w:color w:val="222222"/>
              <w:sz w:val="24"/>
              <w:szCs w:val="24"/>
              <w:highlight w:val="white"/>
            </w:rPr>
          </w:pPr>
          <w:sdt>
            <w:sdtPr>
              <w:rPr>
                <w:rFonts w:ascii="Times New Roman" w:hAnsi="Times New Roman" w:cs="Times New Roman"/>
                <w:sz w:val="24"/>
                <w:szCs w:val="24"/>
              </w:rPr>
              <w:tag w:val="goog_rdk_37"/>
              <w:id w:val="-1298132434"/>
            </w:sdtPr>
            <w:sdtEndPr/>
            <w:sdtContent>
              <w:r w:rsidR="00A656F0" w:rsidRPr="00FA4313">
                <w:rPr>
                  <w:rFonts w:ascii="Times New Roman" w:hAnsi="Times New Roman" w:cs="Times New Roman"/>
                  <w:color w:val="222222"/>
                  <w:sz w:val="24"/>
                  <w:szCs w:val="24"/>
                  <w:highlight w:val="white"/>
                </w:rPr>
                <w:t xml:space="preserve">Meyiwa, A. and </w:t>
              </w:r>
              <w:proofErr w:type="spellStart"/>
              <w:r w:rsidR="00A656F0" w:rsidRPr="00FA4313">
                <w:rPr>
                  <w:rFonts w:ascii="Times New Roman" w:hAnsi="Times New Roman" w:cs="Times New Roman"/>
                  <w:color w:val="222222"/>
                  <w:sz w:val="24"/>
                  <w:szCs w:val="24"/>
                  <w:highlight w:val="white"/>
                </w:rPr>
                <w:t>Chasomeris</w:t>
              </w:r>
              <w:proofErr w:type="spellEnd"/>
              <w:r w:rsidR="00A656F0" w:rsidRPr="00FA4313">
                <w:rPr>
                  <w:rFonts w:ascii="Times New Roman" w:hAnsi="Times New Roman" w:cs="Times New Roman"/>
                  <w:color w:val="222222"/>
                  <w:sz w:val="24"/>
                  <w:szCs w:val="24"/>
                  <w:highlight w:val="white"/>
                </w:rPr>
                <w:t>, M., 2020. South Africa’s port doctrine: dilemmas and the way forward. Maritime Studies, 19(2), pp.179-191.</w:t>
              </w:r>
            </w:sdtContent>
          </w:sdt>
        </w:p>
      </w:sdtContent>
    </w:sdt>
    <w:p w14:paraId="6886A742" w14:textId="77777777"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proofErr w:type="spellStart"/>
      <w:r w:rsidRPr="00FA4313">
        <w:rPr>
          <w:rFonts w:ascii="Times New Roman" w:hAnsi="Times New Roman" w:cs="Times New Roman"/>
          <w:color w:val="222222"/>
          <w:sz w:val="24"/>
          <w:szCs w:val="24"/>
          <w:highlight w:val="white"/>
        </w:rPr>
        <w:t>Notteboom</w:t>
      </w:r>
      <w:proofErr w:type="spellEnd"/>
      <w:r w:rsidRPr="00FA4313">
        <w:rPr>
          <w:rFonts w:ascii="Times New Roman" w:hAnsi="Times New Roman" w:cs="Times New Roman"/>
          <w:color w:val="222222"/>
          <w:sz w:val="24"/>
          <w:szCs w:val="24"/>
          <w:highlight w:val="white"/>
        </w:rPr>
        <w:t>, T., Pallis, T. and Rodrigue, J.P., 2021. Disruptions and resilience in global container shipping and ports: the COVID-19 pandemic versus the 2008–2009 financial crisis. </w:t>
      </w:r>
      <w:r w:rsidRPr="00FA4313">
        <w:rPr>
          <w:rFonts w:ascii="Times New Roman" w:hAnsi="Times New Roman" w:cs="Times New Roman"/>
          <w:i/>
          <w:color w:val="222222"/>
          <w:sz w:val="24"/>
          <w:szCs w:val="24"/>
          <w:highlight w:val="white"/>
        </w:rPr>
        <w:t>Maritime Economics &amp; Logistics</w:t>
      </w:r>
      <w:r w:rsidRPr="00FA4313">
        <w:rPr>
          <w:rFonts w:ascii="Times New Roman" w:hAnsi="Times New Roman" w:cs="Times New Roman"/>
          <w:color w:val="222222"/>
          <w:sz w:val="24"/>
          <w:szCs w:val="24"/>
          <w:highlight w:val="white"/>
        </w:rPr>
        <w:t>, </w:t>
      </w:r>
      <w:r w:rsidRPr="00FA4313">
        <w:rPr>
          <w:rFonts w:ascii="Times New Roman" w:hAnsi="Times New Roman" w:cs="Times New Roman"/>
          <w:i/>
          <w:color w:val="222222"/>
          <w:sz w:val="24"/>
          <w:szCs w:val="24"/>
          <w:highlight w:val="white"/>
        </w:rPr>
        <w:t>23</w:t>
      </w:r>
      <w:r w:rsidRPr="00FA4313">
        <w:rPr>
          <w:rFonts w:ascii="Times New Roman" w:hAnsi="Times New Roman" w:cs="Times New Roman"/>
          <w:color w:val="222222"/>
          <w:sz w:val="24"/>
          <w:szCs w:val="24"/>
          <w:highlight w:val="white"/>
        </w:rPr>
        <w:t>(2), pp.179-210.</w:t>
      </w:r>
    </w:p>
    <w:p w14:paraId="6AC53A74" w14:textId="77777777" w:rsidR="00E9220A" w:rsidRPr="00FA4313" w:rsidRDefault="00A656F0" w:rsidP="00FA4313">
      <w:pPr>
        <w:spacing w:after="0" w:line="240" w:lineRule="auto"/>
        <w:ind w:left="720" w:hanging="720"/>
        <w:rPr>
          <w:rFonts w:ascii="Times New Roman" w:hAnsi="Times New Roman" w:cs="Times New Roman"/>
          <w:color w:val="131413"/>
          <w:sz w:val="24"/>
          <w:szCs w:val="24"/>
        </w:rPr>
      </w:pPr>
      <w:r w:rsidRPr="00FA4313">
        <w:rPr>
          <w:rFonts w:ascii="Times New Roman" w:hAnsi="Times New Roman" w:cs="Times New Roman"/>
          <w:color w:val="222222"/>
          <w:sz w:val="24"/>
          <w:szCs w:val="24"/>
          <w:highlight w:val="white"/>
        </w:rPr>
        <w:lastRenderedPageBreak/>
        <w:t xml:space="preserve">Oyenuga, A. 2021. </w:t>
      </w:r>
      <w:r w:rsidRPr="00FA4313">
        <w:rPr>
          <w:rFonts w:ascii="Times New Roman" w:hAnsi="Times New Roman" w:cs="Times New Roman"/>
          <w:color w:val="131413"/>
          <w:sz w:val="24"/>
          <w:szCs w:val="24"/>
        </w:rPr>
        <w:t xml:space="preserve">Perspectives on the impact of the COVID-19 pandemic on the global and African maritime transport sectors, and the potential implications for Africa’s maritime governance. WMU Journal of Maritime Affairs (2021) 20:215–245. </w:t>
      </w:r>
    </w:p>
    <w:p w14:paraId="29939CCF" w14:textId="33244F8B" w:rsidR="001D2136" w:rsidRPr="00FA4313" w:rsidRDefault="001D2136" w:rsidP="00FA4313">
      <w:pPr>
        <w:spacing w:after="0" w:line="240" w:lineRule="auto"/>
        <w:ind w:left="720" w:hanging="720"/>
        <w:rPr>
          <w:rFonts w:ascii="Times New Roman" w:hAnsi="Times New Roman" w:cs="Times New Roman"/>
          <w:color w:val="131413"/>
          <w:sz w:val="24"/>
          <w:szCs w:val="24"/>
        </w:rPr>
      </w:pPr>
      <w:r w:rsidRPr="00FA4313">
        <w:rPr>
          <w:rFonts w:ascii="Times New Roman" w:hAnsi="Times New Roman" w:cs="Times New Roman"/>
          <w:color w:val="131413"/>
          <w:sz w:val="24"/>
          <w:szCs w:val="24"/>
        </w:rPr>
        <w:t xml:space="preserve">Ports Regulator of South Africa (2017) Port Tariff Methodology For Tariff Years 2018/19 – 2020/21, available at: </w:t>
      </w:r>
      <w:hyperlink r:id="rId20" w:history="1">
        <w:r w:rsidR="00EE63D4" w:rsidRPr="00FA4313">
          <w:rPr>
            <w:rStyle w:val="Hyperlink"/>
            <w:rFonts w:ascii="Times New Roman" w:hAnsi="Times New Roman" w:cs="Times New Roman"/>
            <w:sz w:val="24"/>
            <w:szCs w:val="24"/>
          </w:rPr>
          <w:t>https://www.portsregulator.org/images/documents/Final-Tariff-Methodology-1819-2021.pdf</w:t>
        </w:r>
      </w:hyperlink>
      <w:r w:rsidR="00EE63D4" w:rsidRPr="00FA4313">
        <w:rPr>
          <w:rFonts w:ascii="Times New Roman" w:hAnsi="Times New Roman" w:cs="Times New Roman"/>
          <w:color w:val="131413"/>
          <w:sz w:val="24"/>
          <w:szCs w:val="24"/>
        </w:rPr>
        <w:t>. Date a</w:t>
      </w:r>
      <w:r w:rsidRPr="00FA4313">
        <w:rPr>
          <w:rFonts w:ascii="Times New Roman" w:hAnsi="Times New Roman" w:cs="Times New Roman"/>
          <w:color w:val="131413"/>
          <w:sz w:val="24"/>
          <w:szCs w:val="24"/>
        </w:rPr>
        <w:t>ccessed: 6 October 2018.</w:t>
      </w:r>
    </w:p>
    <w:p w14:paraId="7FC534D4" w14:textId="0328A458" w:rsidR="00553638" w:rsidRPr="00FA4313" w:rsidRDefault="00553638" w:rsidP="00FA4313">
      <w:pPr>
        <w:spacing w:after="0" w:line="240" w:lineRule="auto"/>
        <w:ind w:left="720" w:hanging="720"/>
        <w:rPr>
          <w:rFonts w:ascii="Times New Roman" w:hAnsi="Times New Roman" w:cs="Times New Roman"/>
          <w:color w:val="131413"/>
          <w:sz w:val="24"/>
          <w:szCs w:val="24"/>
        </w:rPr>
      </w:pPr>
      <w:r w:rsidRPr="00FA4313">
        <w:rPr>
          <w:rFonts w:ascii="Times New Roman" w:hAnsi="Times New Roman" w:cs="Times New Roman"/>
          <w:color w:val="131413"/>
          <w:sz w:val="24"/>
          <w:szCs w:val="24"/>
        </w:rPr>
        <w:t>PRSA (2020)</w:t>
      </w:r>
      <w:r w:rsidRPr="00FA4313">
        <w:rPr>
          <w:rFonts w:ascii="Times New Roman" w:hAnsi="Times New Roman" w:cs="Times New Roman"/>
          <w:sz w:val="24"/>
          <w:szCs w:val="24"/>
        </w:rPr>
        <w:t xml:space="preserve"> </w:t>
      </w:r>
      <w:r w:rsidRPr="00FA4313">
        <w:rPr>
          <w:rFonts w:ascii="Times New Roman" w:hAnsi="Times New Roman" w:cs="Times New Roman"/>
          <w:color w:val="131413"/>
          <w:sz w:val="24"/>
          <w:szCs w:val="24"/>
        </w:rPr>
        <w:t xml:space="preserve">Port Tariff Methodology </w:t>
      </w:r>
      <w:r w:rsidR="00DA4EB8" w:rsidRPr="00FA4313">
        <w:rPr>
          <w:rFonts w:ascii="Times New Roman" w:hAnsi="Times New Roman" w:cs="Times New Roman"/>
          <w:color w:val="131413"/>
          <w:sz w:val="24"/>
          <w:szCs w:val="24"/>
        </w:rPr>
        <w:t>f</w:t>
      </w:r>
      <w:r w:rsidRPr="00FA4313">
        <w:rPr>
          <w:rFonts w:ascii="Times New Roman" w:hAnsi="Times New Roman" w:cs="Times New Roman"/>
          <w:color w:val="131413"/>
          <w:sz w:val="24"/>
          <w:szCs w:val="24"/>
        </w:rPr>
        <w:t>or Tariff Years 2021/22 – 2023/24</w:t>
      </w:r>
      <w:r w:rsidR="00DE1A20" w:rsidRPr="00FA4313">
        <w:rPr>
          <w:rFonts w:ascii="Times New Roman" w:hAnsi="Times New Roman" w:cs="Times New Roman"/>
          <w:color w:val="131413"/>
          <w:sz w:val="24"/>
          <w:szCs w:val="24"/>
        </w:rPr>
        <w:t xml:space="preserve">. </w:t>
      </w:r>
      <w:r w:rsidR="003A6218" w:rsidRPr="00FA4313">
        <w:rPr>
          <w:rFonts w:ascii="Times New Roman" w:hAnsi="Times New Roman" w:cs="Times New Roman"/>
          <w:color w:val="131413"/>
          <w:sz w:val="24"/>
          <w:szCs w:val="24"/>
        </w:rPr>
        <w:t xml:space="preserve">Published March 2020. </w:t>
      </w:r>
      <w:hyperlink r:id="rId21" w:history="1">
        <w:r w:rsidR="00C7681E" w:rsidRPr="00FA4313">
          <w:rPr>
            <w:rStyle w:val="Hyperlink"/>
            <w:rFonts w:ascii="Times New Roman" w:hAnsi="Times New Roman" w:cs="Times New Roman"/>
            <w:sz w:val="24"/>
            <w:szCs w:val="24"/>
          </w:rPr>
          <w:t>https://portsregulator.org/doc/Port-Tariff-Methodology-For-Tariff-Years-2021-22_2023-24.pdf</w:t>
        </w:r>
      </w:hyperlink>
      <w:r w:rsidR="003A6218" w:rsidRPr="00FA4313">
        <w:rPr>
          <w:rFonts w:ascii="Times New Roman" w:hAnsi="Times New Roman" w:cs="Times New Roman"/>
          <w:color w:val="131413"/>
          <w:sz w:val="24"/>
          <w:szCs w:val="24"/>
        </w:rPr>
        <w:t>.</w:t>
      </w:r>
      <w:r w:rsidR="00C7681E" w:rsidRPr="00FA4313">
        <w:rPr>
          <w:rFonts w:ascii="Times New Roman" w:hAnsi="Times New Roman" w:cs="Times New Roman"/>
          <w:color w:val="131413"/>
          <w:sz w:val="24"/>
          <w:szCs w:val="24"/>
        </w:rPr>
        <w:t xml:space="preserve"> Accessed on: </w:t>
      </w:r>
      <w:r w:rsidR="0022529A" w:rsidRPr="00FA4313">
        <w:rPr>
          <w:rFonts w:ascii="Times New Roman" w:hAnsi="Times New Roman" w:cs="Times New Roman"/>
          <w:color w:val="131413"/>
          <w:sz w:val="24"/>
          <w:szCs w:val="24"/>
        </w:rPr>
        <w:t>30 March 2020.</w:t>
      </w:r>
    </w:p>
    <w:p w14:paraId="535DCBD9" w14:textId="2AC24D17" w:rsidR="00A8672D" w:rsidRPr="00FA4313" w:rsidRDefault="00A8672D" w:rsidP="00FA4313">
      <w:pPr>
        <w:spacing w:after="0" w:line="240" w:lineRule="auto"/>
        <w:ind w:left="720" w:hanging="720"/>
        <w:rPr>
          <w:rFonts w:ascii="Times New Roman" w:hAnsi="Times New Roman" w:cs="Times New Roman"/>
          <w:color w:val="131413"/>
          <w:sz w:val="24"/>
          <w:szCs w:val="24"/>
        </w:rPr>
      </w:pPr>
      <w:r w:rsidRPr="00FA4313">
        <w:rPr>
          <w:rFonts w:ascii="Times New Roman" w:hAnsi="Times New Roman" w:cs="Times New Roman"/>
          <w:color w:val="131413"/>
          <w:sz w:val="24"/>
          <w:szCs w:val="24"/>
        </w:rPr>
        <w:t xml:space="preserve">PRSA (2021). Global Pricing Comparator Study 2020/21. Port Tariffs. Benchmarking South African port administered prices against a sample of international ports. Report No. 9.  </w:t>
      </w:r>
      <w:hyperlink r:id="rId22" w:history="1">
        <w:r w:rsidR="00893FFC" w:rsidRPr="00FA4313">
          <w:rPr>
            <w:rStyle w:val="Hyperlink"/>
            <w:rFonts w:ascii="Times New Roman" w:hAnsi="Times New Roman" w:cs="Times New Roman"/>
            <w:sz w:val="24"/>
            <w:szCs w:val="24"/>
          </w:rPr>
          <w:t>https://docplayer.net/215775745-Global-pricing-comparator-study-2020-21-port-tariffs.html</w:t>
        </w:r>
      </w:hyperlink>
      <w:r w:rsidR="00893FFC" w:rsidRPr="00FA4313">
        <w:rPr>
          <w:rFonts w:ascii="Times New Roman" w:hAnsi="Times New Roman" w:cs="Times New Roman"/>
          <w:color w:val="131413"/>
          <w:sz w:val="24"/>
          <w:szCs w:val="24"/>
        </w:rPr>
        <w:t>.</w:t>
      </w:r>
      <w:r w:rsidR="00AC127F" w:rsidRPr="00FA4313">
        <w:rPr>
          <w:rFonts w:ascii="Times New Roman" w:hAnsi="Times New Roman" w:cs="Times New Roman"/>
          <w:color w:val="131413"/>
          <w:sz w:val="24"/>
          <w:szCs w:val="24"/>
        </w:rPr>
        <w:t xml:space="preserve"> Accessed</w:t>
      </w:r>
      <w:r w:rsidR="0053627F" w:rsidRPr="00FA4313">
        <w:rPr>
          <w:rFonts w:ascii="Times New Roman" w:hAnsi="Times New Roman" w:cs="Times New Roman"/>
          <w:color w:val="131413"/>
          <w:sz w:val="24"/>
          <w:szCs w:val="24"/>
        </w:rPr>
        <w:t xml:space="preserve"> on</w:t>
      </w:r>
      <w:r w:rsidR="00AC127F" w:rsidRPr="00FA4313">
        <w:rPr>
          <w:rFonts w:ascii="Times New Roman" w:hAnsi="Times New Roman" w:cs="Times New Roman"/>
          <w:color w:val="131413"/>
          <w:sz w:val="24"/>
          <w:szCs w:val="24"/>
        </w:rPr>
        <w:t>:</w:t>
      </w:r>
      <w:r w:rsidR="0053627F" w:rsidRPr="00FA4313">
        <w:rPr>
          <w:rFonts w:ascii="Times New Roman" w:hAnsi="Times New Roman" w:cs="Times New Roman"/>
          <w:color w:val="131413"/>
          <w:sz w:val="24"/>
          <w:szCs w:val="24"/>
        </w:rPr>
        <w:t xml:space="preserve"> 28 March 2022.</w:t>
      </w:r>
      <w:r w:rsidR="00AC127F" w:rsidRPr="00FA4313">
        <w:rPr>
          <w:rFonts w:ascii="Times New Roman" w:hAnsi="Times New Roman" w:cs="Times New Roman"/>
          <w:color w:val="131413"/>
          <w:sz w:val="24"/>
          <w:szCs w:val="24"/>
        </w:rPr>
        <w:t xml:space="preserve"> </w:t>
      </w:r>
    </w:p>
    <w:p w14:paraId="79881738" w14:textId="2E6E4D40" w:rsidR="0054656D" w:rsidRPr="00FA4313" w:rsidRDefault="0054656D" w:rsidP="00FA4313">
      <w:pPr>
        <w:spacing w:after="0" w:line="240" w:lineRule="auto"/>
        <w:ind w:left="720" w:hanging="720"/>
        <w:rPr>
          <w:rFonts w:ascii="Times New Roman" w:hAnsi="Times New Roman" w:cs="Times New Roman"/>
          <w:color w:val="131413"/>
          <w:sz w:val="24"/>
          <w:szCs w:val="24"/>
        </w:rPr>
      </w:pPr>
      <w:r w:rsidRPr="00FA4313">
        <w:rPr>
          <w:rFonts w:ascii="Times New Roman" w:hAnsi="Times New Roman" w:cs="Times New Roman"/>
          <w:color w:val="131413"/>
          <w:sz w:val="24"/>
          <w:szCs w:val="24"/>
        </w:rPr>
        <w:t xml:space="preserve">PRSA (2021) Record of Decision. Tariff Application by the National Ports Authority for the Tariff Years 2022/23 – 2024/25. </w:t>
      </w:r>
      <w:hyperlink r:id="rId23" w:history="1">
        <w:r w:rsidR="000F7FEF" w:rsidRPr="00FA4313">
          <w:rPr>
            <w:rStyle w:val="Hyperlink"/>
            <w:rFonts w:ascii="Times New Roman" w:hAnsi="Times New Roman" w:cs="Times New Roman"/>
            <w:sz w:val="24"/>
            <w:szCs w:val="24"/>
          </w:rPr>
          <w:t>https://portsregulator.org/doc/Ports-Regulator-2022-2023-Tariffs-Record-of-Decision.pdf</w:t>
        </w:r>
      </w:hyperlink>
      <w:r w:rsidR="000F7FEF" w:rsidRPr="00FA4313">
        <w:rPr>
          <w:rFonts w:ascii="Times New Roman" w:hAnsi="Times New Roman" w:cs="Times New Roman"/>
          <w:color w:val="131413"/>
          <w:sz w:val="24"/>
          <w:szCs w:val="24"/>
        </w:rPr>
        <w:t xml:space="preserve">. </w:t>
      </w:r>
      <w:r w:rsidR="0053627F" w:rsidRPr="00FA4313">
        <w:rPr>
          <w:rFonts w:ascii="Times New Roman" w:hAnsi="Times New Roman" w:cs="Times New Roman"/>
          <w:color w:val="131413"/>
          <w:sz w:val="24"/>
          <w:szCs w:val="24"/>
        </w:rPr>
        <w:t>Accessed on: 28 March 2022.</w:t>
      </w:r>
    </w:p>
    <w:p w14:paraId="2B18C0AE" w14:textId="00D96508" w:rsidR="00E9220A" w:rsidRPr="00FA4313" w:rsidRDefault="00A656F0" w:rsidP="00FA4313">
      <w:pPr>
        <w:spacing w:after="0" w:line="240" w:lineRule="auto"/>
        <w:ind w:left="720" w:hanging="720"/>
        <w:rPr>
          <w:rFonts w:ascii="Times New Roman" w:hAnsi="Times New Roman" w:cs="Times New Roman"/>
          <w:color w:val="131413"/>
          <w:sz w:val="24"/>
          <w:szCs w:val="24"/>
        </w:rPr>
      </w:pPr>
      <w:r w:rsidRPr="00FA4313">
        <w:rPr>
          <w:rFonts w:ascii="Times New Roman" w:hAnsi="Times New Roman" w:cs="Times New Roman"/>
          <w:color w:val="131413"/>
          <w:sz w:val="24"/>
          <w:szCs w:val="24"/>
        </w:rPr>
        <w:t xml:space="preserve">Pike, A. 2020. COVID-19: South Africa – signs of improvement in shipping. Bowmans Opinions and Analysis, Sept 8, 2020. </w:t>
      </w:r>
      <w:hyperlink r:id="rId24">
        <w:r w:rsidRPr="00FA4313">
          <w:rPr>
            <w:rFonts w:ascii="Times New Roman" w:hAnsi="Times New Roman" w:cs="Times New Roman"/>
            <w:color w:val="1155CC"/>
            <w:sz w:val="24"/>
            <w:szCs w:val="24"/>
            <w:u w:val="single"/>
          </w:rPr>
          <w:t>https://www.bowmanslaw.com/insights/shipping-aviation-and-logistics/covid-19-south-africa-signs-of-improvement-in-shipping/</w:t>
        </w:r>
      </w:hyperlink>
      <w:r w:rsidR="008E1CAE" w:rsidRPr="00FA4313">
        <w:rPr>
          <w:rFonts w:ascii="Times New Roman" w:hAnsi="Times New Roman" w:cs="Times New Roman"/>
          <w:color w:val="1155CC"/>
          <w:sz w:val="24"/>
          <w:szCs w:val="24"/>
          <w:u w:val="single"/>
        </w:rPr>
        <w:t xml:space="preserve"> </w:t>
      </w:r>
      <w:r w:rsidR="008E1CAE" w:rsidRPr="00FA4313">
        <w:rPr>
          <w:rFonts w:ascii="Times New Roman" w:hAnsi="Times New Roman" w:cs="Times New Roman"/>
          <w:sz w:val="24"/>
          <w:szCs w:val="24"/>
        </w:rPr>
        <w:t>Accessed on: 21 September 2021.</w:t>
      </w:r>
    </w:p>
    <w:p w14:paraId="17D54855" w14:textId="77777777" w:rsidR="00E9220A" w:rsidRPr="00FA4313" w:rsidRDefault="00A656F0" w:rsidP="00FA4313">
      <w:pPr>
        <w:spacing w:after="0" w:line="240" w:lineRule="auto"/>
        <w:ind w:left="720" w:hanging="720"/>
        <w:rPr>
          <w:rFonts w:ascii="Times New Roman" w:hAnsi="Times New Roman" w:cs="Times New Roman"/>
          <w:color w:val="131413"/>
          <w:sz w:val="24"/>
          <w:szCs w:val="24"/>
          <w:lang w:val="fr-FR"/>
        </w:rPr>
      </w:pPr>
      <w:r w:rsidRPr="00FA4313">
        <w:rPr>
          <w:rFonts w:ascii="Times New Roman" w:hAnsi="Times New Roman" w:cs="Times New Roman"/>
          <w:color w:val="131413"/>
          <w:sz w:val="24"/>
          <w:szCs w:val="24"/>
        </w:rPr>
        <w:t xml:space="preserve">Smith, C. 2021. Transnet cyberattack: main ports at 100% but warehousing and cold storage still impacted. </w:t>
      </w:r>
      <w:r w:rsidRPr="00FA4313">
        <w:rPr>
          <w:rFonts w:ascii="Times New Roman" w:hAnsi="Times New Roman" w:cs="Times New Roman"/>
          <w:color w:val="131413"/>
          <w:sz w:val="24"/>
          <w:szCs w:val="24"/>
          <w:lang w:val="fr-FR"/>
        </w:rPr>
        <w:t xml:space="preserve">Fin24, </w:t>
      </w:r>
      <w:proofErr w:type="spellStart"/>
      <w:r w:rsidRPr="00FA4313">
        <w:rPr>
          <w:rFonts w:ascii="Times New Roman" w:hAnsi="Times New Roman" w:cs="Times New Roman"/>
          <w:color w:val="131413"/>
          <w:sz w:val="24"/>
          <w:szCs w:val="24"/>
          <w:lang w:val="fr-FR"/>
        </w:rPr>
        <w:t>Jul</w:t>
      </w:r>
      <w:proofErr w:type="spellEnd"/>
      <w:r w:rsidRPr="00FA4313">
        <w:rPr>
          <w:rFonts w:ascii="Times New Roman" w:hAnsi="Times New Roman" w:cs="Times New Roman"/>
          <w:color w:val="131413"/>
          <w:sz w:val="24"/>
          <w:szCs w:val="24"/>
          <w:lang w:val="fr-FR"/>
        </w:rPr>
        <w:t xml:space="preserve"> 30. https://www.news24.com/fin24/economy/transnet-cyberattack-main-ports-at-100-but-warehousing-and-cold-storage-still-impacted-20210730.</w:t>
      </w:r>
    </w:p>
    <w:p w14:paraId="225B8147" w14:textId="42D49945"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proofErr w:type="spellStart"/>
      <w:r w:rsidRPr="00FA4313">
        <w:rPr>
          <w:rFonts w:ascii="Times New Roman" w:hAnsi="Times New Roman" w:cs="Times New Roman"/>
          <w:color w:val="222222"/>
          <w:sz w:val="24"/>
          <w:szCs w:val="24"/>
          <w:highlight w:val="white"/>
          <w:lang w:val="fr-FR"/>
        </w:rPr>
        <w:t>Transnet</w:t>
      </w:r>
      <w:proofErr w:type="spellEnd"/>
      <w:r w:rsidRPr="00FA4313">
        <w:rPr>
          <w:rFonts w:ascii="Times New Roman" w:hAnsi="Times New Roman" w:cs="Times New Roman"/>
          <w:color w:val="222222"/>
          <w:sz w:val="24"/>
          <w:szCs w:val="24"/>
          <w:highlight w:val="white"/>
          <w:lang w:val="fr-FR"/>
        </w:rPr>
        <w:t xml:space="preserve">. 2021. Port </w:t>
      </w:r>
      <w:proofErr w:type="spellStart"/>
      <w:r w:rsidRPr="00FA4313">
        <w:rPr>
          <w:rFonts w:ascii="Times New Roman" w:hAnsi="Times New Roman" w:cs="Times New Roman"/>
          <w:color w:val="222222"/>
          <w:sz w:val="24"/>
          <w:szCs w:val="24"/>
          <w:highlight w:val="white"/>
          <w:lang w:val="fr-FR"/>
        </w:rPr>
        <w:t>Statistics</w:t>
      </w:r>
      <w:proofErr w:type="spellEnd"/>
      <w:r w:rsidRPr="00FA4313">
        <w:rPr>
          <w:rFonts w:ascii="Times New Roman" w:hAnsi="Times New Roman" w:cs="Times New Roman"/>
          <w:color w:val="222222"/>
          <w:sz w:val="24"/>
          <w:szCs w:val="24"/>
          <w:highlight w:val="white"/>
          <w:lang w:val="fr-FR"/>
        </w:rPr>
        <w:t xml:space="preserve">. </w:t>
      </w:r>
      <w:hyperlink r:id="rId25">
        <w:r w:rsidRPr="00FA4313">
          <w:rPr>
            <w:rFonts w:ascii="Times New Roman" w:hAnsi="Times New Roman" w:cs="Times New Roman"/>
            <w:color w:val="0563C1"/>
            <w:sz w:val="24"/>
            <w:szCs w:val="24"/>
            <w:highlight w:val="white"/>
            <w:u w:val="single"/>
            <w:lang w:val="fr-FR"/>
          </w:rPr>
          <w:t>https://www.transnetnationalportsauthority.net/Commercial%20and%20Marketing/Pages/Port-Statistics.aspx</w:t>
        </w:r>
      </w:hyperlink>
      <w:r w:rsidRPr="00FA4313">
        <w:rPr>
          <w:rFonts w:ascii="Times New Roman" w:hAnsi="Times New Roman" w:cs="Times New Roman"/>
          <w:color w:val="222222"/>
          <w:sz w:val="24"/>
          <w:szCs w:val="24"/>
          <w:highlight w:val="white"/>
          <w:lang w:val="fr-FR"/>
        </w:rPr>
        <w:t>.</w:t>
      </w:r>
      <w:r w:rsidR="008E1CAE" w:rsidRPr="00FA4313">
        <w:rPr>
          <w:rFonts w:ascii="Times New Roman" w:hAnsi="Times New Roman" w:cs="Times New Roman"/>
          <w:color w:val="222222"/>
          <w:sz w:val="24"/>
          <w:szCs w:val="24"/>
          <w:highlight w:val="white"/>
          <w:lang w:val="fr-FR"/>
        </w:rPr>
        <w:t xml:space="preserve"> </w:t>
      </w:r>
      <w:r w:rsidR="008E1CAE" w:rsidRPr="00FA4313">
        <w:rPr>
          <w:rFonts w:ascii="Times New Roman" w:hAnsi="Times New Roman" w:cs="Times New Roman"/>
          <w:sz w:val="24"/>
          <w:szCs w:val="24"/>
        </w:rPr>
        <w:t>Accessed on: 23 August 2021.</w:t>
      </w:r>
    </w:p>
    <w:p w14:paraId="35BB5140" w14:textId="0E6E33F0" w:rsidR="00E9220A" w:rsidRPr="00FA4313" w:rsidRDefault="00A656F0" w:rsidP="00FA4313">
      <w:pPr>
        <w:spacing w:after="0" w:line="240" w:lineRule="auto"/>
        <w:ind w:left="720" w:hanging="720"/>
        <w:rPr>
          <w:rFonts w:ascii="Times New Roman" w:hAnsi="Times New Roman" w:cs="Times New Roman"/>
          <w:sz w:val="24"/>
          <w:szCs w:val="24"/>
        </w:rPr>
      </w:pPr>
      <w:r w:rsidRPr="00FA4313">
        <w:rPr>
          <w:rFonts w:ascii="Times New Roman" w:hAnsi="Times New Roman" w:cs="Times New Roman"/>
          <w:sz w:val="24"/>
          <w:szCs w:val="24"/>
        </w:rPr>
        <w:t>UNCTAD. 2020. Impact of the COVID-19 Pandemic on Trade and Development: Transitioning to a New Normal.</w:t>
      </w:r>
      <w:r w:rsidRPr="00FA4313">
        <w:rPr>
          <w:rFonts w:ascii="Times New Roman" w:hAnsi="Times New Roman" w:cs="Times New Roman"/>
          <w:i/>
          <w:sz w:val="24"/>
          <w:szCs w:val="24"/>
        </w:rPr>
        <w:t xml:space="preserve"> </w:t>
      </w:r>
      <w:hyperlink r:id="rId26">
        <w:r w:rsidRPr="00FA4313">
          <w:rPr>
            <w:rFonts w:ascii="Times New Roman" w:hAnsi="Times New Roman" w:cs="Times New Roman"/>
            <w:color w:val="0563C1"/>
            <w:sz w:val="24"/>
            <w:szCs w:val="24"/>
            <w:u w:val="single"/>
          </w:rPr>
          <w:t>https://unctad.org/system/files/official-document/osg2020d1_en.pdf</w:t>
        </w:r>
      </w:hyperlink>
      <w:r w:rsidRPr="00FA4313">
        <w:rPr>
          <w:rFonts w:ascii="Times New Roman" w:hAnsi="Times New Roman" w:cs="Times New Roman"/>
          <w:sz w:val="24"/>
          <w:szCs w:val="24"/>
        </w:rPr>
        <w:t>.</w:t>
      </w:r>
      <w:r w:rsidR="008E1CAE" w:rsidRPr="00FA4313">
        <w:rPr>
          <w:rFonts w:ascii="Times New Roman" w:hAnsi="Times New Roman" w:cs="Times New Roman"/>
          <w:sz w:val="24"/>
          <w:szCs w:val="24"/>
        </w:rPr>
        <w:t xml:space="preserve"> Accessed on: 23 August 2021.</w:t>
      </w:r>
    </w:p>
    <w:p w14:paraId="2E6A4639" w14:textId="77777777" w:rsidR="00E9220A" w:rsidRPr="00FA4313" w:rsidRDefault="00A656F0" w:rsidP="00FA4313">
      <w:pPr>
        <w:spacing w:after="0" w:line="240" w:lineRule="auto"/>
        <w:ind w:left="720" w:hanging="720"/>
        <w:rPr>
          <w:rFonts w:ascii="Times New Roman" w:hAnsi="Times New Roman" w:cs="Times New Roman"/>
          <w:sz w:val="24"/>
          <w:szCs w:val="24"/>
        </w:rPr>
      </w:pPr>
      <w:r w:rsidRPr="00FA4313">
        <w:rPr>
          <w:rFonts w:ascii="Times New Roman" w:hAnsi="Times New Roman" w:cs="Times New Roman"/>
          <w:sz w:val="24"/>
          <w:szCs w:val="24"/>
        </w:rPr>
        <w:t>UNCTAD. 2021a. COVID-19 and maritime transport: impact and responses. Transport and Trade Facilitation, Series 15. https://unctad.org/system/files/official-document/dtltlb2021d1_en.pdf.</w:t>
      </w:r>
    </w:p>
    <w:p w14:paraId="3C743DD9" w14:textId="73652B1B"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r w:rsidRPr="00FA4313">
        <w:rPr>
          <w:rFonts w:ascii="Times New Roman" w:hAnsi="Times New Roman" w:cs="Times New Roman"/>
          <w:color w:val="222222"/>
          <w:sz w:val="24"/>
          <w:szCs w:val="24"/>
          <w:highlight w:val="white"/>
        </w:rPr>
        <w:t xml:space="preserve">UNCTAD. 2021b. Shipping during COVID-19: Why container freight rates have surged. </w:t>
      </w:r>
      <w:hyperlink r:id="rId27">
        <w:r w:rsidRPr="00FA4313">
          <w:rPr>
            <w:rFonts w:ascii="Times New Roman" w:hAnsi="Times New Roman" w:cs="Times New Roman"/>
            <w:color w:val="0563C1"/>
            <w:sz w:val="24"/>
            <w:szCs w:val="24"/>
            <w:highlight w:val="white"/>
            <w:u w:val="single"/>
          </w:rPr>
          <w:t>https://unctad.org/news/shipping-during-covid-19-why-container-freight-rates-have-surged</w:t>
        </w:r>
      </w:hyperlink>
      <w:r w:rsidRPr="00FA4313">
        <w:rPr>
          <w:rFonts w:ascii="Times New Roman" w:hAnsi="Times New Roman" w:cs="Times New Roman"/>
          <w:color w:val="222222"/>
          <w:sz w:val="24"/>
          <w:szCs w:val="24"/>
          <w:highlight w:val="white"/>
        </w:rPr>
        <w:t>.</w:t>
      </w:r>
      <w:r w:rsidR="008E1CAE" w:rsidRPr="00FA4313">
        <w:rPr>
          <w:rFonts w:ascii="Times New Roman" w:hAnsi="Times New Roman" w:cs="Times New Roman"/>
          <w:color w:val="222222"/>
          <w:sz w:val="24"/>
          <w:szCs w:val="24"/>
          <w:highlight w:val="white"/>
        </w:rPr>
        <w:t xml:space="preserve"> </w:t>
      </w:r>
      <w:r w:rsidR="008E1CAE" w:rsidRPr="00FA4313">
        <w:rPr>
          <w:rFonts w:ascii="Times New Roman" w:hAnsi="Times New Roman" w:cs="Times New Roman"/>
          <w:sz w:val="24"/>
          <w:szCs w:val="24"/>
        </w:rPr>
        <w:t>Accessed on: 23 August 2021.</w:t>
      </w:r>
    </w:p>
    <w:p w14:paraId="7FD77AB1" w14:textId="77777777" w:rsidR="00E9220A" w:rsidRPr="00FA4313" w:rsidRDefault="00A656F0" w:rsidP="00FA4313">
      <w:pPr>
        <w:spacing w:after="0" w:line="240" w:lineRule="auto"/>
        <w:ind w:left="720" w:hanging="720"/>
        <w:rPr>
          <w:rFonts w:ascii="Times New Roman" w:hAnsi="Times New Roman" w:cs="Times New Roman"/>
          <w:color w:val="0D0D0D"/>
          <w:sz w:val="24"/>
          <w:szCs w:val="24"/>
        </w:rPr>
      </w:pPr>
      <w:r w:rsidRPr="00FA4313">
        <w:rPr>
          <w:rFonts w:ascii="Times New Roman" w:hAnsi="Times New Roman" w:cs="Times New Roman"/>
          <w:color w:val="0D0D0D"/>
          <w:sz w:val="24"/>
          <w:szCs w:val="24"/>
        </w:rPr>
        <w:t>The World Bank. 2021. “The Container Port Performance Index 2020: A Comparable Assessment of Container Port Performance.” World Bank, Washington, DC. License: Creative Commons Attribution CC BY 3.0 IGO.</w:t>
      </w:r>
    </w:p>
    <w:p w14:paraId="4EFA3D21" w14:textId="55F2215F" w:rsidR="00E9220A" w:rsidRPr="00FA4313" w:rsidRDefault="0045025D" w:rsidP="00FA4313">
      <w:pPr>
        <w:spacing w:after="0" w:line="240" w:lineRule="auto"/>
        <w:ind w:left="720" w:hanging="720"/>
        <w:rPr>
          <w:rFonts w:ascii="Times New Roman" w:hAnsi="Times New Roman" w:cs="Times New Roman"/>
          <w:color w:val="0D0D0D"/>
          <w:sz w:val="24"/>
          <w:szCs w:val="24"/>
        </w:rPr>
      </w:pPr>
      <w:r w:rsidRPr="00FA4313">
        <w:rPr>
          <w:rFonts w:ascii="Times New Roman" w:hAnsi="Times New Roman" w:cs="Times New Roman"/>
          <w:color w:val="0D0D0D"/>
          <w:sz w:val="24"/>
          <w:szCs w:val="24"/>
        </w:rPr>
        <w:t xml:space="preserve">TNPA (2021). Transnet National Ports Authority Tariff Application FY 2022/23 to FY 2024/25, Roadshow Presentation 14 – 16 September 2021, Accessed at: </w:t>
      </w:r>
      <w:hyperlink r:id="rId28" w:history="1">
        <w:r w:rsidR="0053627F" w:rsidRPr="00FA4313">
          <w:rPr>
            <w:rStyle w:val="Hyperlink"/>
            <w:rFonts w:ascii="Times New Roman" w:hAnsi="Times New Roman" w:cs="Times New Roman"/>
            <w:sz w:val="24"/>
            <w:szCs w:val="24"/>
          </w:rPr>
          <w:t>https://portsregulator.org/tariffs-2022-23-tnpa-tariff-application/</w:t>
        </w:r>
      </w:hyperlink>
      <w:r w:rsidR="0053627F" w:rsidRPr="00FA4313">
        <w:rPr>
          <w:rFonts w:ascii="Times New Roman" w:hAnsi="Times New Roman" w:cs="Times New Roman"/>
          <w:color w:val="0D0D0D"/>
          <w:sz w:val="24"/>
          <w:szCs w:val="24"/>
        </w:rPr>
        <w:t xml:space="preserve">. </w:t>
      </w:r>
      <w:r w:rsidRPr="00FA4313">
        <w:rPr>
          <w:rFonts w:ascii="Times New Roman" w:hAnsi="Times New Roman" w:cs="Times New Roman"/>
          <w:color w:val="0D0D0D"/>
          <w:sz w:val="24"/>
          <w:szCs w:val="24"/>
        </w:rPr>
        <w:t>Accessed on</w:t>
      </w:r>
      <w:r w:rsidR="0053627F" w:rsidRPr="00FA4313">
        <w:rPr>
          <w:rFonts w:ascii="Times New Roman" w:hAnsi="Times New Roman" w:cs="Times New Roman"/>
          <w:color w:val="0D0D0D"/>
          <w:sz w:val="24"/>
          <w:szCs w:val="24"/>
        </w:rPr>
        <w:t>:</w:t>
      </w:r>
      <w:r w:rsidRPr="00FA4313">
        <w:rPr>
          <w:rFonts w:ascii="Times New Roman" w:hAnsi="Times New Roman" w:cs="Times New Roman"/>
          <w:color w:val="0D0D0D"/>
          <w:sz w:val="24"/>
          <w:szCs w:val="24"/>
        </w:rPr>
        <w:t xml:space="preserve"> 24 February 2022.</w:t>
      </w:r>
    </w:p>
    <w:p w14:paraId="5C47B828" w14:textId="77777777" w:rsidR="00E9220A" w:rsidRPr="00FA4313" w:rsidRDefault="00A656F0" w:rsidP="00FA4313">
      <w:pPr>
        <w:spacing w:after="0" w:line="240" w:lineRule="auto"/>
        <w:ind w:left="720" w:hanging="720"/>
        <w:rPr>
          <w:rFonts w:ascii="Times New Roman" w:hAnsi="Times New Roman" w:cs="Times New Roman"/>
          <w:color w:val="0D0D0D"/>
          <w:sz w:val="24"/>
          <w:szCs w:val="24"/>
        </w:rPr>
      </w:pPr>
      <w:r w:rsidRPr="00FA4313">
        <w:rPr>
          <w:rFonts w:ascii="Times New Roman" w:hAnsi="Times New Roman" w:cs="Times New Roman"/>
          <w:color w:val="0D0D0D"/>
          <w:sz w:val="24"/>
          <w:szCs w:val="24"/>
        </w:rPr>
        <w:t>Venter, I. 2021. Durban port woes amplified as global supply chain crunch intensifies. Creamer Media’s Engineering News, Oct 21. https://www.engineeringnews.co.za/article/durban-port-woes-amplified-as-global-supply-chain-crunch-intensifies-2021-10-21/rep_id:4136.</w:t>
      </w:r>
    </w:p>
    <w:p w14:paraId="6DF129BF" w14:textId="77777777" w:rsidR="00E9220A" w:rsidRPr="00FA4313" w:rsidRDefault="00A656F0" w:rsidP="00FA4313">
      <w:pPr>
        <w:spacing w:after="0" w:line="240" w:lineRule="auto"/>
        <w:ind w:left="720" w:hanging="720"/>
        <w:rPr>
          <w:rFonts w:ascii="Times New Roman" w:hAnsi="Times New Roman" w:cs="Times New Roman"/>
          <w:color w:val="222222"/>
          <w:sz w:val="24"/>
          <w:szCs w:val="24"/>
          <w:highlight w:val="white"/>
        </w:rPr>
      </w:pPr>
      <w:proofErr w:type="spellStart"/>
      <w:r w:rsidRPr="00FA4313">
        <w:rPr>
          <w:rFonts w:ascii="Times New Roman" w:hAnsi="Times New Roman" w:cs="Times New Roman"/>
          <w:color w:val="222222"/>
          <w:sz w:val="24"/>
          <w:szCs w:val="24"/>
          <w:highlight w:val="white"/>
        </w:rPr>
        <w:t>Veselovská</w:t>
      </w:r>
      <w:proofErr w:type="spellEnd"/>
      <w:r w:rsidRPr="00FA4313">
        <w:rPr>
          <w:rFonts w:ascii="Times New Roman" w:hAnsi="Times New Roman" w:cs="Times New Roman"/>
          <w:color w:val="222222"/>
          <w:sz w:val="24"/>
          <w:szCs w:val="24"/>
          <w:highlight w:val="white"/>
        </w:rPr>
        <w:t>, L. 2020. Supply chain disruptions in the context of early stages of the global COVID-19 outbreak. </w:t>
      </w:r>
      <w:r w:rsidRPr="00FA4313">
        <w:rPr>
          <w:rFonts w:ascii="Times New Roman" w:hAnsi="Times New Roman" w:cs="Times New Roman"/>
          <w:i/>
          <w:color w:val="222222"/>
          <w:sz w:val="24"/>
          <w:szCs w:val="24"/>
          <w:highlight w:val="white"/>
        </w:rPr>
        <w:t>Problems and Perspectives in Management</w:t>
      </w:r>
      <w:r w:rsidRPr="00FA4313">
        <w:rPr>
          <w:rFonts w:ascii="Times New Roman" w:hAnsi="Times New Roman" w:cs="Times New Roman"/>
          <w:color w:val="222222"/>
          <w:sz w:val="24"/>
          <w:szCs w:val="24"/>
          <w:highlight w:val="white"/>
        </w:rPr>
        <w:t>, </w:t>
      </w:r>
      <w:r w:rsidRPr="00FA4313">
        <w:rPr>
          <w:rFonts w:ascii="Times New Roman" w:hAnsi="Times New Roman" w:cs="Times New Roman"/>
          <w:i/>
          <w:color w:val="222222"/>
          <w:sz w:val="24"/>
          <w:szCs w:val="24"/>
          <w:highlight w:val="white"/>
        </w:rPr>
        <w:t>18</w:t>
      </w:r>
      <w:r w:rsidRPr="00FA4313">
        <w:rPr>
          <w:rFonts w:ascii="Times New Roman" w:hAnsi="Times New Roman" w:cs="Times New Roman"/>
          <w:color w:val="222222"/>
          <w:sz w:val="24"/>
          <w:szCs w:val="24"/>
          <w:highlight w:val="white"/>
        </w:rPr>
        <w:t>(2), pp.490-500.</w:t>
      </w:r>
    </w:p>
    <w:p w14:paraId="1B916592" w14:textId="77777777" w:rsidR="00E9220A" w:rsidRPr="00FA4313" w:rsidRDefault="00A656F0" w:rsidP="00FA4313">
      <w:pPr>
        <w:spacing w:after="0" w:line="240" w:lineRule="auto"/>
        <w:ind w:left="720" w:hanging="720"/>
        <w:rPr>
          <w:rFonts w:ascii="Times New Roman" w:hAnsi="Times New Roman" w:cs="Times New Roman"/>
          <w:color w:val="0D0D0D"/>
          <w:sz w:val="24"/>
          <w:szCs w:val="24"/>
        </w:rPr>
      </w:pPr>
      <w:r w:rsidRPr="00FA4313">
        <w:rPr>
          <w:rFonts w:ascii="Times New Roman" w:hAnsi="Times New Roman" w:cs="Times New Roman"/>
          <w:sz w:val="24"/>
          <w:szCs w:val="24"/>
        </w:rPr>
        <w:t>Viljoen, W. 2020. South Africa’s trade for March 2020 – Significant trade surplus shows the initial impact of COVID-19 on imports, viewed 09 September 2020. https:// www.tralac.org/blog/article/14591-south-africa-s-trade-for-march-2020-significanttrade-surplus-shows-the-initial-impact-of-covid-19-on-imports. html#:~:text=The % 20impact % 20of % 20the % 20Covid,and % 2 0 trade%2Dcentred%20less%20around.</w:t>
      </w:r>
    </w:p>
    <w:p w14:paraId="2869876B" w14:textId="74AA8E59" w:rsidR="00494A04" w:rsidRPr="00FA4313" w:rsidRDefault="00A656F0" w:rsidP="00FA4313">
      <w:pPr>
        <w:spacing w:after="0" w:line="240" w:lineRule="auto"/>
        <w:ind w:left="720" w:hanging="720"/>
        <w:rPr>
          <w:rFonts w:ascii="Times New Roman" w:hAnsi="Times New Roman" w:cs="Times New Roman"/>
          <w:sz w:val="24"/>
          <w:szCs w:val="24"/>
        </w:rPr>
      </w:pPr>
      <w:r w:rsidRPr="00FA4313">
        <w:rPr>
          <w:rFonts w:ascii="Times New Roman" w:hAnsi="Times New Roman" w:cs="Times New Roman"/>
          <w:color w:val="0D0D0D"/>
          <w:sz w:val="24"/>
          <w:szCs w:val="24"/>
        </w:rPr>
        <w:t xml:space="preserve">World Bank. 2022. Global Economic Prospects, January 2022. Washington, DC: World Bank. </w:t>
      </w:r>
      <w:proofErr w:type="spellStart"/>
      <w:r w:rsidRPr="00FA4313">
        <w:rPr>
          <w:rFonts w:ascii="Times New Roman" w:hAnsi="Times New Roman" w:cs="Times New Roman"/>
          <w:color w:val="0D0D0D"/>
          <w:sz w:val="24"/>
          <w:szCs w:val="24"/>
        </w:rPr>
        <w:t>doi</w:t>
      </w:r>
      <w:proofErr w:type="spellEnd"/>
      <w:r w:rsidRPr="00FA4313">
        <w:rPr>
          <w:rFonts w:ascii="Times New Roman" w:hAnsi="Times New Roman" w:cs="Times New Roman"/>
          <w:color w:val="0D0D0D"/>
          <w:sz w:val="24"/>
          <w:szCs w:val="24"/>
        </w:rPr>
        <w:t xml:space="preserve">: 10.1596/978-1-4648-1758-8. License: Creative Commons Attribution CC BY 3.0 IGO. </w:t>
      </w:r>
    </w:p>
    <w:sectPr w:rsidR="00494A04" w:rsidRPr="00FA4313" w:rsidSect="00FA4313">
      <w:headerReference w:type="default" r:id="rId29"/>
      <w:footerReference w:type="default" r:id="rId30"/>
      <w:headerReference w:type="first" r:id="rId31"/>
      <w:pgSz w:w="11906" w:h="16838"/>
      <w:pgMar w:top="720" w:right="720" w:bottom="720" w:left="72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6AB5" w14:textId="77777777" w:rsidR="0020733A" w:rsidRDefault="0020733A" w:rsidP="00075D76">
      <w:pPr>
        <w:spacing w:after="0" w:line="240" w:lineRule="auto"/>
      </w:pPr>
      <w:r>
        <w:separator/>
      </w:r>
    </w:p>
  </w:endnote>
  <w:endnote w:type="continuationSeparator" w:id="0">
    <w:p w14:paraId="414F798D" w14:textId="77777777" w:rsidR="0020733A" w:rsidRDefault="0020733A" w:rsidP="0007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F48D" w14:textId="77777777" w:rsidR="00481556" w:rsidRDefault="0048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3453" w14:textId="77777777" w:rsidR="0020733A" w:rsidRDefault="0020733A" w:rsidP="00075D76">
      <w:pPr>
        <w:spacing w:after="0" w:line="240" w:lineRule="auto"/>
      </w:pPr>
      <w:r>
        <w:separator/>
      </w:r>
    </w:p>
  </w:footnote>
  <w:footnote w:type="continuationSeparator" w:id="0">
    <w:p w14:paraId="414BAAE9" w14:textId="77777777" w:rsidR="0020733A" w:rsidRDefault="0020733A" w:rsidP="0007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4071" w14:textId="77777777" w:rsidR="00481556" w:rsidRPr="00481556" w:rsidRDefault="0048155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5324" w14:textId="6C009F69" w:rsidR="00481556" w:rsidRPr="00481556" w:rsidRDefault="00481556" w:rsidP="00481556">
    <w:pPr>
      <w:tabs>
        <w:tab w:val="center" w:pos="4153"/>
        <w:tab w:val="right" w:pos="8306"/>
      </w:tabs>
      <w:snapToGrid w:val="0"/>
      <w:spacing w:after="0" w:line="240" w:lineRule="atLeast"/>
      <w:jc w:val="center"/>
      <w:rPr>
        <w:rFonts w:ascii="Palatino Linotype" w:eastAsia="SimSun" w:hAnsi="Palatino Linotype" w:cs="Times New Roman"/>
        <w:noProof/>
        <w:color w:val="808080"/>
        <w:sz w:val="18"/>
        <w:szCs w:val="18"/>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E90"/>
    <w:multiLevelType w:val="multilevel"/>
    <w:tmpl w:val="3244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23A9"/>
    <w:multiLevelType w:val="hybridMultilevel"/>
    <w:tmpl w:val="08063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8365BB"/>
    <w:multiLevelType w:val="hybridMultilevel"/>
    <w:tmpl w:val="07E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345A8"/>
    <w:multiLevelType w:val="hybridMultilevel"/>
    <w:tmpl w:val="E8E2B3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8645CA8"/>
    <w:multiLevelType w:val="multilevel"/>
    <w:tmpl w:val="CFDCD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AD12EA"/>
    <w:multiLevelType w:val="hybridMultilevel"/>
    <w:tmpl w:val="9348A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EE8608A"/>
    <w:multiLevelType w:val="multilevel"/>
    <w:tmpl w:val="967A4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9121721">
    <w:abstractNumId w:val="6"/>
  </w:num>
  <w:num w:numId="2" w16cid:durableId="499468049">
    <w:abstractNumId w:val="4"/>
  </w:num>
  <w:num w:numId="3" w16cid:durableId="313414591">
    <w:abstractNumId w:val="0"/>
  </w:num>
  <w:num w:numId="4" w16cid:durableId="1078401289">
    <w:abstractNumId w:val="3"/>
  </w:num>
  <w:num w:numId="5" w16cid:durableId="895748979">
    <w:abstractNumId w:val="2"/>
  </w:num>
  <w:num w:numId="6" w16cid:durableId="1929584006">
    <w:abstractNumId w:val="5"/>
  </w:num>
  <w:num w:numId="7" w16cid:durableId="1157845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LQwMTe1NLQwMzVW0lEKTi0uzszPAykwNKoFAMlxk6YtAAAA"/>
  </w:docVars>
  <w:rsids>
    <w:rsidRoot w:val="00E9220A"/>
    <w:rsid w:val="00005769"/>
    <w:rsid w:val="00006D58"/>
    <w:rsid w:val="00015EF0"/>
    <w:rsid w:val="00016F4E"/>
    <w:rsid w:val="000211E0"/>
    <w:rsid w:val="000218E0"/>
    <w:rsid w:val="00023F90"/>
    <w:rsid w:val="0003341B"/>
    <w:rsid w:val="00041C8F"/>
    <w:rsid w:val="00045003"/>
    <w:rsid w:val="000476CF"/>
    <w:rsid w:val="00051483"/>
    <w:rsid w:val="00053FB2"/>
    <w:rsid w:val="00054C29"/>
    <w:rsid w:val="0005630F"/>
    <w:rsid w:val="00062363"/>
    <w:rsid w:val="00063D76"/>
    <w:rsid w:val="00075D76"/>
    <w:rsid w:val="00084F65"/>
    <w:rsid w:val="000901B1"/>
    <w:rsid w:val="000932F7"/>
    <w:rsid w:val="00093DA7"/>
    <w:rsid w:val="00094BB4"/>
    <w:rsid w:val="00097E7A"/>
    <w:rsid w:val="000A3A61"/>
    <w:rsid w:val="000A3B29"/>
    <w:rsid w:val="000B393F"/>
    <w:rsid w:val="000C4001"/>
    <w:rsid w:val="000C67A7"/>
    <w:rsid w:val="000D756F"/>
    <w:rsid w:val="000E0FB1"/>
    <w:rsid w:val="000E38BD"/>
    <w:rsid w:val="000F02E5"/>
    <w:rsid w:val="000F132D"/>
    <w:rsid w:val="000F4805"/>
    <w:rsid w:val="000F4D7E"/>
    <w:rsid w:val="000F7FEF"/>
    <w:rsid w:val="00104992"/>
    <w:rsid w:val="00112BD3"/>
    <w:rsid w:val="001218AA"/>
    <w:rsid w:val="00123E01"/>
    <w:rsid w:val="00124C19"/>
    <w:rsid w:val="00126DB2"/>
    <w:rsid w:val="00135484"/>
    <w:rsid w:val="00136A39"/>
    <w:rsid w:val="001407ED"/>
    <w:rsid w:val="0014157B"/>
    <w:rsid w:val="001434A7"/>
    <w:rsid w:val="00144CDC"/>
    <w:rsid w:val="00151037"/>
    <w:rsid w:val="0015191F"/>
    <w:rsid w:val="00156C3A"/>
    <w:rsid w:val="0015772D"/>
    <w:rsid w:val="00160678"/>
    <w:rsid w:val="00167D53"/>
    <w:rsid w:val="001856EC"/>
    <w:rsid w:val="00186A66"/>
    <w:rsid w:val="00193BD2"/>
    <w:rsid w:val="001A4531"/>
    <w:rsid w:val="001C384A"/>
    <w:rsid w:val="001C495F"/>
    <w:rsid w:val="001D2136"/>
    <w:rsid w:val="001F29BB"/>
    <w:rsid w:val="001F4AF7"/>
    <w:rsid w:val="001F7F9E"/>
    <w:rsid w:val="00205A80"/>
    <w:rsid w:val="0020733A"/>
    <w:rsid w:val="00207BB0"/>
    <w:rsid w:val="00213A58"/>
    <w:rsid w:val="002140D5"/>
    <w:rsid w:val="00214909"/>
    <w:rsid w:val="002153B3"/>
    <w:rsid w:val="002157A1"/>
    <w:rsid w:val="00222C0E"/>
    <w:rsid w:val="0022529A"/>
    <w:rsid w:val="00225CD2"/>
    <w:rsid w:val="0023143B"/>
    <w:rsid w:val="00232337"/>
    <w:rsid w:val="002339B4"/>
    <w:rsid w:val="00236F7E"/>
    <w:rsid w:val="002402D7"/>
    <w:rsid w:val="00260D86"/>
    <w:rsid w:val="00262B1D"/>
    <w:rsid w:val="00263B8B"/>
    <w:rsid w:val="0026663B"/>
    <w:rsid w:val="00270193"/>
    <w:rsid w:val="002708DB"/>
    <w:rsid w:val="00272723"/>
    <w:rsid w:val="00276FFB"/>
    <w:rsid w:val="00285B45"/>
    <w:rsid w:val="00286E5F"/>
    <w:rsid w:val="00292A70"/>
    <w:rsid w:val="0029345F"/>
    <w:rsid w:val="00294021"/>
    <w:rsid w:val="0029616D"/>
    <w:rsid w:val="002A3BB2"/>
    <w:rsid w:val="002A6A55"/>
    <w:rsid w:val="002B1917"/>
    <w:rsid w:val="002C6940"/>
    <w:rsid w:val="002D3A57"/>
    <w:rsid w:val="002E0F03"/>
    <w:rsid w:val="002E354A"/>
    <w:rsid w:val="002F4574"/>
    <w:rsid w:val="003041BD"/>
    <w:rsid w:val="00310F8C"/>
    <w:rsid w:val="00311351"/>
    <w:rsid w:val="00312EE2"/>
    <w:rsid w:val="00313803"/>
    <w:rsid w:val="00327F51"/>
    <w:rsid w:val="003341D5"/>
    <w:rsid w:val="0033669E"/>
    <w:rsid w:val="00340025"/>
    <w:rsid w:val="003415E0"/>
    <w:rsid w:val="00346C98"/>
    <w:rsid w:val="00347AC8"/>
    <w:rsid w:val="00347DEE"/>
    <w:rsid w:val="00356E79"/>
    <w:rsid w:val="003603C5"/>
    <w:rsid w:val="00361DDD"/>
    <w:rsid w:val="003671EA"/>
    <w:rsid w:val="00370C05"/>
    <w:rsid w:val="00370C1D"/>
    <w:rsid w:val="00372071"/>
    <w:rsid w:val="00383AF9"/>
    <w:rsid w:val="003859A7"/>
    <w:rsid w:val="00386813"/>
    <w:rsid w:val="00394850"/>
    <w:rsid w:val="00394A32"/>
    <w:rsid w:val="003A112F"/>
    <w:rsid w:val="003A42AB"/>
    <w:rsid w:val="003A6218"/>
    <w:rsid w:val="003A6CB6"/>
    <w:rsid w:val="003B06F7"/>
    <w:rsid w:val="003B2353"/>
    <w:rsid w:val="003C35A8"/>
    <w:rsid w:val="003C3B06"/>
    <w:rsid w:val="003C6017"/>
    <w:rsid w:val="003D07FB"/>
    <w:rsid w:val="003D31FB"/>
    <w:rsid w:val="003D64C6"/>
    <w:rsid w:val="003E51D5"/>
    <w:rsid w:val="003E5322"/>
    <w:rsid w:val="003F6524"/>
    <w:rsid w:val="00400292"/>
    <w:rsid w:val="00400385"/>
    <w:rsid w:val="00400B53"/>
    <w:rsid w:val="00403A72"/>
    <w:rsid w:val="00404E07"/>
    <w:rsid w:val="0041277E"/>
    <w:rsid w:val="00412BF4"/>
    <w:rsid w:val="00417FDA"/>
    <w:rsid w:val="00420B4F"/>
    <w:rsid w:val="0042167D"/>
    <w:rsid w:val="0042356A"/>
    <w:rsid w:val="00425126"/>
    <w:rsid w:val="00431573"/>
    <w:rsid w:val="0043376B"/>
    <w:rsid w:val="0043560B"/>
    <w:rsid w:val="00437950"/>
    <w:rsid w:val="004401E4"/>
    <w:rsid w:val="0045025D"/>
    <w:rsid w:val="0045367A"/>
    <w:rsid w:val="00460FA4"/>
    <w:rsid w:val="00465498"/>
    <w:rsid w:val="0046710A"/>
    <w:rsid w:val="00467918"/>
    <w:rsid w:val="00470C05"/>
    <w:rsid w:val="00475C6E"/>
    <w:rsid w:val="00477B3E"/>
    <w:rsid w:val="00481556"/>
    <w:rsid w:val="00482F46"/>
    <w:rsid w:val="00491916"/>
    <w:rsid w:val="00493F68"/>
    <w:rsid w:val="00494A04"/>
    <w:rsid w:val="004A3FEC"/>
    <w:rsid w:val="004A588E"/>
    <w:rsid w:val="004C0A19"/>
    <w:rsid w:val="004C3129"/>
    <w:rsid w:val="004C5A0A"/>
    <w:rsid w:val="004C5EA7"/>
    <w:rsid w:val="004C64ED"/>
    <w:rsid w:val="004D4AA8"/>
    <w:rsid w:val="004E5B21"/>
    <w:rsid w:val="00504CBD"/>
    <w:rsid w:val="00510A07"/>
    <w:rsid w:val="00513BCE"/>
    <w:rsid w:val="0052007F"/>
    <w:rsid w:val="005202DD"/>
    <w:rsid w:val="00521C9C"/>
    <w:rsid w:val="00524C65"/>
    <w:rsid w:val="005278B5"/>
    <w:rsid w:val="0053627F"/>
    <w:rsid w:val="0054656D"/>
    <w:rsid w:val="00546AB6"/>
    <w:rsid w:val="00547BE3"/>
    <w:rsid w:val="00553638"/>
    <w:rsid w:val="005561A0"/>
    <w:rsid w:val="00557ED5"/>
    <w:rsid w:val="0056188D"/>
    <w:rsid w:val="00577856"/>
    <w:rsid w:val="005963D6"/>
    <w:rsid w:val="00596820"/>
    <w:rsid w:val="005A0CAC"/>
    <w:rsid w:val="005A4478"/>
    <w:rsid w:val="005B1CD4"/>
    <w:rsid w:val="005B2520"/>
    <w:rsid w:val="005B2723"/>
    <w:rsid w:val="005B606F"/>
    <w:rsid w:val="005C4496"/>
    <w:rsid w:val="005C7D23"/>
    <w:rsid w:val="005D566D"/>
    <w:rsid w:val="005E2DFE"/>
    <w:rsid w:val="005F3D56"/>
    <w:rsid w:val="005F4191"/>
    <w:rsid w:val="005F425F"/>
    <w:rsid w:val="005F53D9"/>
    <w:rsid w:val="005F5D95"/>
    <w:rsid w:val="005F786B"/>
    <w:rsid w:val="00601615"/>
    <w:rsid w:val="00604D88"/>
    <w:rsid w:val="006111E0"/>
    <w:rsid w:val="00611CF6"/>
    <w:rsid w:val="00613A74"/>
    <w:rsid w:val="00614FD0"/>
    <w:rsid w:val="00614FF8"/>
    <w:rsid w:val="00615FFA"/>
    <w:rsid w:val="006220CB"/>
    <w:rsid w:val="00623B51"/>
    <w:rsid w:val="006244FB"/>
    <w:rsid w:val="0062665D"/>
    <w:rsid w:val="00633ED1"/>
    <w:rsid w:val="00635D06"/>
    <w:rsid w:val="006432EC"/>
    <w:rsid w:val="00644173"/>
    <w:rsid w:val="00647C79"/>
    <w:rsid w:val="006522C3"/>
    <w:rsid w:val="0065534A"/>
    <w:rsid w:val="00661081"/>
    <w:rsid w:val="00661237"/>
    <w:rsid w:val="00673C06"/>
    <w:rsid w:val="006860C1"/>
    <w:rsid w:val="00691B0C"/>
    <w:rsid w:val="0069406B"/>
    <w:rsid w:val="00694947"/>
    <w:rsid w:val="006A2EA6"/>
    <w:rsid w:val="006A2EE7"/>
    <w:rsid w:val="006B1741"/>
    <w:rsid w:val="006B22BB"/>
    <w:rsid w:val="006B2816"/>
    <w:rsid w:val="006B3985"/>
    <w:rsid w:val="006B62DC"/>
    <w:rsid w:val="006B6BD8"/>
    <w:rsid w:val="006C0FB8"/>
    <w:rsid w:val="006C1370"/>
    <w:rsid w:val="006C1670"/>
    <w:rsid w:val="006C24E6"/>
    <w:rsid w:val="006C2E13"/>
    <w:rsid w:val="006D033B"/>
    <w:rsid w:val="006D1094"/>
    <w:rsid w:val="006D1DCA"/>
    <w:rsid w:val="006D3E06"/>
    <w:rsid w:val="006D43BC"/>
    <w:rsid w:val="006E1042"/>
    <w:rsid w:val="006E25C2"/>
    <w:rsid w:val="006E2755"/>
    <w:rsid w:val="006E7355"/>
    <w:rsid w:val="006F4C6B"/>
    <w:rsid w:val="006F511C"/>
    <w:rsid w:val="006F7879"/>
    <w:rsid w:val="007004F4"/>
    <w:rsid w:val="00702BF6"/>
    <w:rsid w:val="0070465A"/>
    <w:rsid w:val="00704828"/>
    <w:rsid w:val="00710072"/>
    <w:rsid w:val="00716B3C"/>
    <w:rsid w:val="0072032C"/>
    <w:rsid w:val="00720884"/>
    <w:rsid w:val="0072132A"/>
    <w:rsid w:val="00721806"/>
    <w:rsid w:val="00725140"/>
    <w:rsid w:val="00731679"/>
    <w:rsid w:val="007320DD"/>
    <w:rsid w:val="00735701"/>
    <w:rsid w:val="00750DDC"/>
    <w:rsid w:val="007532C0"/>
    <w:rsid w:val="00761B4E"/>
    <w:rsid w:val="00763B99"/>
    <w:rsid w:val="00765D80"/>
    <w:rsid w:val="00766523"/>
    <w:rsid w:val="00767901"/>
    <w:rsid w:val="00772F47"/>
    <w:rsid w:val="00776E56"/>
    <w:rsid w:val="00783113"/>
    <w:rsid w:val="007834EF"/>
    <w:rsid w:val="00791B72"/>
    <w:rsid w:val="00792084"/>
    <w:rsid w:val="00795311"/>
    <w:rsid w:val="007A0BE1"/>
    <w:rsid w:val="007A2DF1"/>
    <w:rsid w:val="007A513A"/>
    <w:rsid w:val="007A5144"/>
    <w:rsid w:val="007B27AC"/>
    <w:rsid w:val="007B4DD4"/>
    <w:rsid w:val="007B5FB2"/>
    <w:rsid w:val="007B791F"/>
    <w:rsid w:val="007C2330"/>
    <w:rsid w:val="007C507D"/>
    <w:rsid w:val="007C59C1"/>
    <w:rsid w:val="007C7AFD"/>
    <w:rsid w:val="00806652"/>
    <w:rsid w:val="00806770"/>
    <w:rsid w:val="0081383F"/>
    <w:rsid w:val="008155FC"/>
    <w:rsid w:val="00820C94"/>
    <w:rsid w:val="00823C99"/>
    <w:rsid w:val="00824253"/>
    <w:rsid w:val="0082550C"/>
    <w:rsid w:val="0083085E"/>
    <w:rsid w:val="00831266"/>
    <w:rsid w:val="00835740"/>
    <w:rsid w:val="008414FC"/>
    <w:rsid w:val="00841BE2"/>
    <w:rsid w:val="0084547B"/>
    <w:rsid w:val="00857270"/>
    <w:rsid w:val="008576BE"/>
    <w:rsid w:val="00857E47"/>
    <w:rsid w:val="008606C2"/>
    <w:rsid w:val="00861ED3"/>
    <w:rsid w:val="008620C1"/>
    <w:rsid w:val="008660C5"/>
    <w:rsid w:val="0088049E"/>
    <w:rsid w:val="00893FFC"/>
    <w:rsid w:val="00895819"/>
    <w:rsid w:val="008A1CD0"/>
    <w:rsid w:val="008A7E53"/>
    <w:rsid w:val="008B0CEB"/>
    <w:rsid w:val="008C3384"/>
    <w:rsid w:val="008C3CFE"/>
    <w:rsid w:val="008C6E31"/>
    <w:rsid w:val="008C7E3D"/>
    <w:rsid w:val="008D19A1"/>
    <w:rsid w:val="008E16F5"/>
    <w:rsid w:val="008E1CAE"/>
    <w:rsid w:val="008E5FFD"/>
    <w:rsid w:val="008E7907"/>
    <w:rsid w:val="008E7EFA"/>
    <w:rsid w:val="008F32C3"/>
    <w:rsid w:val="008F503B"/>
    <w:rsid w:val="008F74FB"/>
    <w:rsid w:val="0091493C"/>
    <w:rsid w:val="009306FC"/>
    <w:rsid w:val="009330B6"/>
    <w:rsid w:val="009414F9"/>
    <w:rsid w:val="00941BCE"/>
    <w:rsid w:val="009420E4"/>
    <w:rsid w:val="009424F3"/>
    <w:rsid w:val="00942D51"/>
    <w:rsid w:val="0094308C"/>
    <w:rsid w:val="00947DA5"/>
    <w:rsid w:val="00953AC7"/>
    <w:rsid w:val="00955B9D"/>
    <w:rsid w:val="00970821"/>
    <w:rsid w:val="0097337F"/>
    <w:rsid w:val="00975EDC"/>
    <w:rsid w:val="009805F7"/>
    <w:rsid w:val="00980ABB"/>
    <w:rsid w:val="00982630"/>
    <w:rsid w:val="00984E7A"/>
    <w:rsid w:val="00991201"/>
    <w:rsid w:val="00993C9A"/>
    <w:rsid w:val="009A04CF"/>
    <w:rsid w:val="009A3E4D"/>
    <w:rsid w:val="009B13A6"/>
    <w:rsid w:val="009B3F5D"/>
    <w:rsid w:val="009B5901"/>
    <w:rsid w:val="009B5DAD"/>
    <w:rsid w:val="009B7D92"/>
    <w:rsid w:val="009C2F31"/>
    <w:rsid w:val="009C525D"/>
    <w:rsid w:val="009D2973"/>
    <w:rsid w:val="009D56F1"/>
    <w:rsid w:val="009D7903"/>
    <w:rsid w:val="009E3672"/>
    <w:rsid w:val="009E5BE2"/>
    <w:rsid w:val="00A12DA2"/>
    <w:rsid w:val="00A13697"/>
    <w:rsid w:val="00A13EAB"/>
    <w:rsid w:val="00A15C01"/>
    <w:rsid w:val="00A25DD3"/>
    <w:rsid w:val="00A34655"/>
    <w:rsid w:val="00A36396"/>
    <w:rsid w:val="00A370F9"/>
    <w:rsid w:val="00A3795A"/>
    <w:rsid w:val="00A44403"/>
    <w:rsid w:val="00A56020"/>
    <w:rsid w:val="00A5646A"/>
    <w:rsid w:val="00A64BF3"/>
    <w:rsid w:val="00A656F0"/>
    <w:rsid w:val="00A673BC"/>
    <w:rsid w:val="00A70FCC"/>
    <w:rsid w:val="00A71A5B"/>
    <w:rsid w:val="00A755A3"/>
    <w:rsid w:val="00A76242"/>
    <w:rsid w:val="00A777F8"/>
    <w:rsid w:val="00A837C6"/>
    <w:rsid w:val="00A853C8"/>
    <w:rsid w:val="00A8672D"/>
    <w:rsid w:val="00A914C4"/>
    <w:rsid w:val="00A924F5"/>
    <w:rsid w:val="00A9263B"/>
    <w:rsid w:val="00A9516D"/>
    <w:rsid w:val="00AA0AAF"/>
    <w:rsid w:val="00AA0FDF"/>
    <w:rsid w:val="00AA1E31"/>
    <w:rsid w:val="00AA2165"/>
    <w:rsid w:val="00AB286E"/>
    <w:rsid w:val="00AB2AFE"/>
    <w:rsid w:val="00AB4A5E"/>
    <w:rsid w:val="00AC127F"/>
    <w:rsid w:val="00AC3A05"/>
    <w:rsid w:val="00AC6C84"/>
    <w:rsid w:val="00AD2E85"/>
    <w:rsid w:val="00AD3F94"/>
    <w:rsid w:val="00AF5B88"/>
    <w:rsid w:val="00B00DEC"/>
    <w:rsid w:val="00B04451"/>
    <w:rsid w:val="00B04B8D"/>
    <w:rsid w:val="00B23787"/>
    <w:rsid w:val="00B26108"/>
    <w:rsid w:val="00B26BCB"/>
    <w:rsid w:val="00B316ED"/>
    <w:rsid w:val="00B346E6"/>
    <w:rsid w:val="00B34F27"/>
    <w:rsid w:val="00B37A75"/>
    <w:rsid w:val="00B40769"/>
    <w:rsid w:val="00B408EF"/>
    <w:rsid w:val="00B56553"/>
    <w:rsid w:val="00B6041E"/>
    <w:rsid w:val="00B66032"/>
    <w:rsid w:val="00B665E1"/>
    <w:rsid w:val="00B73145"/>
    <w:rsid w:val="00B80EF8"/>
    <w:rsid w:val="00B822C1"/>
    <w:rsid w:val="00B8445C"/>
    <w:rsid w:val="00B84E8A"/>
    <w:rsid w:val="00B85396"/>
    <w:rsid w:val="00B9162E"/>
    <w:rsid w:val="00B92C28"/>
    <w:rsid w:val="00B969E7"/>
    <w:rsid w:val="00B97DB6"/>
    <w:rsid w:val="00BA4DEB"/>
    <w:rsid w:val="00BA4E28"/>
    <w:rsid w:val="00BA662C"/>
    <w:rsid w:val="00BB46A6"/>
    <w:rsid w:val="00BB527C"/>
    <w:rsid w:val="00BB5369"/>
    <w:rsid w:val="00BB58D4"/>
    <w:rsid w:val="00BC15A0"/>
    <w:rsid w:val="00BC676B"/>
    <w:rsid w:val="00BD109F"/>
    <w:rsid w:val="00BD5D4F"/>
    <w:rsid w:val="00BE1124"/>
    <w:rsid w:val="00BE19DD"/>
    <w:rsid w:val="00BE1ED3"/>
    <w:rsid w:val="00BE43A5"/>
    <w:rsid w:val="00BF5810"/>
    <w:rsid w:val="00BF669A"/>
    <w:rsid w:val="00BF7C0D"/>
    <w:rsid w:val="00C0477F"/>
    <w:rsid w:val="00C0530C"/>
    <w:rsid w:val="00C05D7A"/>
    <w:rsid w:val="00C05E7A"/>
    <w:rsid w:val="00C1120C"/>
    <w:rsid w:val="00C11489"/>
    <w:rsid w:val="00C127D2"/>
    <w:rsid w:val="00C16B4E"/>
    <w:rsid w:val="00C2572D"/>
    <w:rsid w:val="00C26180"/>
    <w:rsid w:val="00C3037D"/>
    <w:rsid w:val="00C31AED"/>
    <w:rsid w:val="00C322B2"/>
    <w:rsid w:val="00C35069"/>
    <w:rsid w:val="00C40DCC"/>
    <w:rsid w:val="00C5208B"/>
    <w:rsid w:val="00C57CA0"/>
    <w:rsid w:val="00C61E24"/>
    <w:rsid w:val="00C66B98"/>
    <w:rsid w:val="00C704E9"/>
    <w:rsid w:val="00C7681E"/>
    <w:rsid w:val="00C81362"/>
    <w:rsid w:val="00C96FB6"/>
    <w:rsid w:val="00CA6BC4"/>
    <w:rsid w:val="00CB0367"/>
    <w:rsid w:val="00CB102E"/>
    <w:rsid w:val="00CB2021"/>
    <w:rsid w:val="00CB79F6"/>
    <w:rsid w:val="00CC2A40"/>
    <w:rsid w:val="00CC3EA3"/>
    <w:rsid w:val="00CC66BA"/>
    <w:rsid w:val="00CC6872"/>
    <w:rsid w:val="00CD1A5E"/>
    <w:rsid w:val="00CD30C0"/>
    <w:rsid w:val="00CD581E"/>
    <w:rsid w:val="00CD5902"/>
    <w:rsid w:val="00CD650A"/>
    <w:rsid w:val="00CD7FB2"/>
    <w:rsid w:val="00CE4B1F"/>
    <w:rsid w:val="00CF3211"/>
    <w:rsid w:val="00CF66E2"/>
    <w:rsid w:val="00CF6832"/>
    <w:rsid w:val="00CF7BA8"/>
    <w:rsid w:val="00D00B97"/>
    <w:rsid w:val="00D07D16"/>
    <w:rsid w:val="00D2051A"/>
    <w:rsid w:val="00D21172"/>
    <w:rsid w:val="00D2402E"/>
    <w:rsid w:val="00D26713"/>
    <w:rsid w:val="00D41281"/>
    <w:rsid w:val="00D436AE"/>
    <w:rsid w:val="00D460EE"/>
    <w:rsid w:val="00D4741E"/>
    <w:rsid w:val="00D53B89"/>
    <w:rsid w:val="00D5734F"/>
    <w:rsid w:val="00D61E71"/>
    <w:rsid w:val="00D70AF1"/>
    <w:rsid w:val="00D76C2D"/>
    <w:rsid w:val="00D8111E"/>
    <w:rsid w:val="00D912C9"/>
    <w:rsid w:val="00D93802"/>
    <w:rsid w:val="00D95748"/>
    <w:rsid w:val="00D97DE4"/>
    <w:rsid w:val="00DA036B"/>
    <w:rsid w:val="00DA4EB8"/>
    <w:rsid w:val="00DB00D9"/>
    <w:rsid w:val="00DB50C8"/>
    <w:rsid w:val="00DC271A"/>
    <w:rsid w:val="00DC288A"/>
    <w:rsid w:val="00DC2A48"/>
    <w:rsid w:val="00DC44F4"/>
    <w:rsid w:val="00DC50DD"/>
    <w:rsid w:val="00DD5520"/>
    <w:rsid w:val="00DD77BD"/>
    <w:rsid w:val="00DE1A20"/>
    <w:rsid w:val="00DE4235"/>
    <w:rsid w:val="00DE53EF"/>
    <w:rsid w:val="00DF226B"/>
    <w:rsid w:val="00DF3473"/>
    <w:rsid w:val="00DF4656"/>
    <w:rsid w:val="00DF633E"/>
    <w:rsid w:val="00E01A09"/>
    <w:rsid w:val="00E046C8"/>
    <w:rsid w:val="00E04FDA"/>
    <w:rsid w:val="00E078CC"/>
    <w:rsid w:val="00E10351"/>
    <w:rsid w:val="00E11880"/>
    <w:rsid w:val="00E24F08"/>
    <w:rsid w:val="00E26F89"/>
    <w:rsid w:val="00E33112"/>
    <w:rsid w:val="00E3350E"/>
    <w:rsid w:val="00E412B4"/>
    <w:rsid w:val="00E4174F"/>
    <w:rsid w:val="00E42092"/>
    <w:rsid w:val="00E5016A"/>
    <w:rsid w:val="00E5180D"/>
    <w:rsid w:val="00E602E1"/>
    <w:rsid w:val="00E614C6"/>
    <w:rsid w:val="00E707A7"/>
    <w:rsid w:val="00E83350"/>
    <w:rsid w:val="00E84637"/>
    <w:rsid w:val="00E9220A"/>
    <w:rsid w:val="00E94830"/>
    <w:rsid w:val="00E963BC"/>
    <w:rsid w:val="00EA4A10"/>
    <w:rsid w:val="00EA6CC1"/>
    <w:rsid w:val="00EA789E"/>
    <w:rsid w:val="00EB3D1B"/>
    <w:rsid w:val="00EC255E"/>
    <w:rsid w:val="00EC2789"/>
    <w:rsid w:val="00EC65CE"/>
    <w:rsid w:val="00ED6A32"/>
    <w:rsid w:val="00EE566D"/>
    <w:rsid w:val="00EE5B92"/>
    <w:rsid w:val="00EE6203"/>
    <w:rsid w:val="00EE63D4"/>
    <w:rsid w:val="00EF0E49"/>
    <w:rsid w:val="00EF19E6"/>
    <w:rsid w:val="00EF3AFA"/>
    <w:rsid w:val="00EF4435"/>
    <w:rsid w:val="00EF6CF5"/>
    <w:rsid w:val="00F00489"/>
    <w:rsid w:val="00F022BC"/>
    <w:rsid w:val="00F071B0"/>
    <w:rsid w:val="00F10875"/>
    <w:rsid w:val="00F20CD3"/>
    <w:rsid w:val="00F21752"/>
    <w:rsid w:val="00F2509E"/>
    <w:rsid w:val="00F43BB4"/>
    <w:rsid w:val="00F43D84"/>
    <w:rsid w:val="00F46591"/>
    <w:rsid w:val="00F4694D"/>
    <w:rsid w:val="00F51382"/>
    <w:rsid w:val="00F52407"/>
    <w:rsid w:val="00F56894"/>
    <w:rsid w:val="00F60B9B"/>
    <w:rsid w:val="00F67BFD"/>
    <w:rsid w:val="00F74729"/>
    <w:rsid w:val="00F752B4"/>
    <w:rsid w:val="00F85C9E"/>
    <w:rsid w:val="00F864F2"/>
    <w:rsid w:val="00F95173"/>
    <w:rsid w:val="00F95939"/>
    <w:rsid w:val="00F9697D"/>
    <w:rsid w:val="00FA4313"/>
    <w:rsid w:val="00FB0DBD"/>
    <w:rsid w:val="00FB3F24"/>
    <w:rsid w:val="00FB7010"/>
    <w:rsid w:val="00FB75A7"/>
    <w:rsid w:val="00FC29AC"/>
    <w:rsid w:val="00FC60AC"/>
    <w:rsid w:val="00FD3B49"/>
    <w:rsid w:val="00FD4906"/>
    <w:rsid w:val="00FE2183"/>
    <w:rsid w:val="00FE3222"/>
    <w:rsid w:val="00FE48AE"/>
    <w:rsid w:val="00FE5F70"/>
    <w:rsid w:val="00FF3A83"/>
    <w:rsid w:val="00FF59EA"/>
    <w:rsid w:val="00FF60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4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7A5D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2DCB"/>
    <w:pPr>
      <w:ind w:left="720"/>
      <w:contextualSpacing/>
    </w:pPr>
  </w:style>
  <w:style w:type="character" w:styleId="Hyperlink">
    <w:name w:val="Hyperlink"/>
    <w:basedOn w:val="DefaultParagraphFont"/>
    <w:uiPriority w:val="99"/>
    <w:unhideWhenUsed/>
    <w:rsid w:val="00102DCB"/>
    <w:rPr>
      <w:color w:val="0563C1" w:themeColor="hyperlink"/>
      <w:u w:val="single"/>
    </w:rPr>
  </w:style>
  <w:style w:type="character" w:styleId="FollowedHyperlink">
    <w:name w:val="FollowedHyperlink"/>
    <w:basedOn w:val="DefaultParagraphFont"/>
    <w:uiPriority w:val="99"/>
    <w:semiHidden/>
    <w:unhideWhenUsed/>
    <w:rsid w:val="00102DCB"/>
    <w:rPr>
      <w:color w:val="954F72" w:themeColor="followedHyperlink"/>
      <w:u w:val="single"/>
    </w:rPr>
  </w:style>
  <w:style w:type="character" w:customStyle="1" w:styleId="text-small">
    <w:name w:val="text-small"/>
    <w:basedOn w:val="DefaultParagraphFont"/>
    <w:rsid w:val="00172293"/>
  </w:style>
  <w:style w:type="paragraph" w:styleId="NormalWeb">
    <w:name w:val="Normal (Web)"/>
    <w:basedOn w:val="Normal"/>
    <w:uiPriority w:val="99"/>
    <w:semiHidden/>
    <w:unhideWhenUsed/>
    <w:rsid w:val="00172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A5D3A"/>
    <w:rPr>
      <w:rFonts w:ascii="Times New Roman" w:eastAsia="Times New Roman" w:hAnsi="Times New Roman" w:cs="Times New Roman"/>
      <w:b/>
      <w:bCs/>
      <w:sz w:val="20"/>
      <w:szCs w:val="20"/>
      <w:lang w:eastAsia="en-ZA"/>
    </w:rPr>
  </w:style>
  <w:style w:type="character" w:styleId="Emphasis">
    <w:name w:val="Emphasis"/>
    <w:basedOn w:val="DefaultParagraphFont"/>
    <w:uiPriority w:val="20"/>
    <w:qFormat/>
    <w:rsid w:val="00DA6982"/>
    <w:rPr>
      <w:i/>
      <w:iCs/>
    </w:rPr>
  </w:style>
  <w:style w:type="paragraph" w:styleId="FootnoteText">
    <w:name w:val="footnote text"/>
    <w:basedOn w:val="Normal"/>
    <w:link w:val="FootnoteTextChar"/>
    <w:uiPriority w:val="99"/>
    <w:semiHidden/>
    <w:unhideWhenUsed/>
    <w:rsid w:val="00E03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1F7"/>
    <w:rPr>
      <w:sz w:val="20"/>
      <w:szCs w:val="20"/>
    </w:rPr>
  </w:style>
  <w:style w:type="character" w:styleId="FootnoteReference">
    <w:name w:val="footnote reference"/>
    <w:basedOn w:val="DefaultParagraphFont"/>
    <w:uiPriority w:val="99"/>
    <w:semiHidden/>
    <w:unhideWhenUsed/>
    <w:rsid w:val="00E031F7"/>
    <w:rPr>
      <w:vertAlign w:val="superscript"/>
    </w:rPr>
  </w:style>
  <w:style w:type="character" w:styleId="CommentReference">
    <w:name w:val="annotation reference"/>
    <w:basedOn w:val="DefaultParagraphFont"/>
    <w:uiPriority w:val="99"/>
    <w:semiHidden/>
    <w:unhideWhenUsed/>
    <w:rsid w:val="00036BB9"/>
    <w:rPr>
      <w:sz w:val="16"/>
      <w:szCs w:val="16"/>
    </w:rPr>
  </w:style>
  <w:style w:type="paragraph" w:styleId="CommentText">
    <w:name w:val="annotation text"/>
    <w:basedOn w:val="Normal"/>
    <w:link w:val="CommentTextChar"/>
    <w:uiPriority w:val="99"/>
    <w:semiHidden/>
    <w:unhideWhenUsed/>
    <w:rsid w:val="00036BB9"/>
    <w:pPr>
      <w:spacing w:line="240" w:lineRule="auto"/>
    </w:pPr>
    <w:rPr>
      <w:sz w:val="20"/>
      <w:szCs w:val="20"/>
    </w:rPr>
  </w:style>
  <w:style w:type="character" w:customStyle="1" w:styleId="CommentTextChar">
    <w:name w:val="Comment Text Char"/>
    <w:basedOn w:val="DefaultParagraphFont"/>
    <w:link w:val="CommentText"/>
    <w:uiPriority w:val="99"/>
    <w:semiHidden/>
    <w:rsid w:val="00036BB9"/>
    <w:rPr>
      <w:sz w:val="20"/>
      <w:szCs w:val="20"/>
    </w:rPr>
  </w:style>
  <w:style w:type="paragraph" w:styleId="CommentSubject">
    <w:name w:val="annotation subject"/>
    <w:basedOn w:val="CommentText"/>
    <w:next w:val="CommentText"/>
    <w:link w:val="CommentSubjectChar"/>
    <w:uiPriority w:val="99"/>
    <w:semiHidden/>
    <w:unhideWhenUsed/>
    <w:rsid w:val="00036BB9"/>
    <w:rPr>
      <w:b/>
      <w:bCs/>
    </w:rPr>
  </w:style>
  <w:style w:type="character" w:customStyle="1" w:styleId="CommentSubjectChar">
    <w:name w:val="Comment Subject Char"/>
    <w:basedOn w:val="CommentTextChar"/>
    <w:link w:val="CommentSubject"/>
    <w:uiPriority w:val="99"/>
    <w:semiHidden/>
    <w:rsid w:val="00036BB9"/>
    <w:rPr>
      <w:b/>
      <w:bCs/>
      <w:sz w:val="20"/>
      <w:szCs w:val="20"/>
    </w:rPr>
  </w:style>
  <w:style w:type="paragraph" w:styleId="BalloonText">
    <w:name w:val="Balloon Text"/>
    <w:basedOn w:val="Normal"/>
    <w:link w:val="BalloonTextChar"/>
    <w:uiPriority w:val="99"/>
    <w:semiHidden/>
    <w:unhideWhenUsed/>
    <w:rsid w:val="00036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BB9"/>
    <w:rPr>
      <w:rFonts w:ascii="Segoe UI" w:hAnsi="Segoe UI" w:cs="Segoe UI"/>
      <w:sz w:val="18"/>
      <w:szCs w:val="18"/>
    </w:rPr>
  </w:style>
  <w:style w:type="table" w:styleId="TableGrid">
    <w:name w:val="Table Grid"/>
    <w:basedOn w:val="TableNormal"/>
    <w:uiPriority w:val="39"/>
    <w:rsid w:val="005E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F2C8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895819"/>
    <w:pPr>
      <w:widowControl w:val="0"/>
      <w:autoSpaceDE w:val="0"/>
      <w:autoSpaceDN w:val="0"/>
      <w:spacing w:after="0" w:line="240" w:lineRule="auto"/>
    </w:pPr>
    <w:rPr>
      <w:lang w:val="en-US" w:eastAsia="en-US"/>
    </w:rPr>
  </w:style>
  <w:style w:type="character" w:customStyle="1" w:styleId="BodyTextChar">
    <w:name w:val="Body Text Char"/>
    <w:basedOn w:val="DefaultParagraphFont"/>
    <w:link w:val="BodyText"/>
    <w:uiPriority w:val="1"/>
    <w:rsid w:val="00895819"/>
    <w:rPr>
      <w:lang w:val="en-US" w:eastAsia="en-US"/>
    </w:rPr>
  </w:style>
  <w:style w:type="character" w:customStyle="1" w:styleId="UnresolvedMention2">
    <w:name w:val="Unresolved Mention2"/>
    <w:basedOn w:val="DefaultParagraphFont"/>
    <w:uiPriority w:val="99"/>
    <w:semiHidden/>
    <w:unhideWhenUsed/>
    <w:rsid w:val="000F7FEF"/>
    <w:rPr>
      <w:color w:val="605E5C"/>
      <w:shd w:val="clear" w:color="auto" w:fill="E1DFDD"/>
    </w:rPr>
  </w:style>
  <w:style w:type="paragraph" w:styleId="Header">
    <w:name w:val="header"/>
    <w:basedOn w:val="Normal"/>
    <w:link w:val="HeaderChar"/>
    <w:uiPriority w:val="99"/>
    <w:unhideWhenUsed/>
    <w:rsid w:val="00075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76"/>
  </w:style>
  <w:style w:type="paragraph" w:styleId="Footer">
    <w:name w:val="footer"/>
    <w:basedOn w:val="Normal"/>
    <w:link w:val="FooterChar"/>
    <w:uiPriority w:val="99"/>
    <w:unhideWhenUsed/>
    <w:rsid w:val="00075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76"/>
  </w:style>
  <w:style w:type="character" w:styleId="UnresolvedMention">
    <w:name w:val="Unresolved Mention"/>
    <w:basedOn w:val="DefaultParagraphFont"/>
    <w:uiPriority w:val="99"/>
    <w:semiHidden/>
    <w:unhideWhenUsed/>
    <w:rsid w:val="00C7681E"/>
    <w:rPr>
      <w:color w:val="605E5C"/>
      <w:shd w:val="clear" w:color="auto" w:fill="E1DFDD"/>
    </w:rPr>
  </w:style>
  <w:style w:type="character" w:styleId="LineNumber">
    <w:name w:val="line number"/>
    <w:basedOn w:val="DefaultParagraphFont"/>
    <w:uiPriority w:val="99"/>
    <w:semiHidden/>
    <w:unhideWhenUsed/>
    <w:rsid w:val="00481556"/>
  </w:style>
  <w:style w:type="table" w:customStyle="1" w:styleId="TableGrid1">
    <w:name w:val="Table Grid1"/>
    <w:basedOn w:val="TableNormal"/>
    <w:next w:val="TableGrid"/>
    <w:uiPriority w:val="39"/>
    <w:rsid w:val="00FA431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1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unctad.org/news/how-cushion-consumers-high-maritime-freight-rates?utm_source=UNCTAD+Transport+and+Trade+Facilitation+Newsletter&amp;utm_campaign=c65ec6aac7-EMAIL_CAMPAIGN_2017_09_18_COPY_01&amp;utm_medium=email&amp;utm_term=0_f6141a63dd-c65ec6aac7-44483581" TargetMode="External"/><Relationship Id="rId26" Type="http://schemas.openxmlformats.org/officeDocument/2006/relationships/hyperlink" Target="https://unctad.org/system/files/official-document/osg2020d1_en.pdf" TargetMode="External"/><Relationship Id="rId3" Type="http://schemas.openxmlformats.org/officeDocument/2006/relationships/styles" Target="styles.xml"/><Relationship Id="rId21" Type="http://schemas.openxmlformats.org/officeDocument/2006/relationships/hyperlink" Target="https://portsregulator.org/doc/Port-Tariff-Methodology-For-Tariff-Years-2021-22_2023-24.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rewry.co.uk/coronavirus-hub" TargetMode="External"/><Relationship Id="rId25" Type="http://schemas.openxmlformats.org/officeDocument/2006/relationships/hyperlink" Target="https://www.transnetnationalportsauthority.net/Commercial%20and%20Marketing/Pages/Port-Statistics.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ilymaverick.co.za/article/2020-03-25-covid19-lockdown-a-moving-target-for-importers/" TargetMode="External"/><Relationship Id="rId20" Type="http://schemas.openxmlformats.org/officeDocument/2006/relationships/hyperlink" Target="https://www.portsregulator.org/images/documents/Final-Tariff-Methodology-1819-202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owmanslaw.com/insights/shipping-aviation-and-logistics/covid-19-south-africa-signs-of-improvement-in-shipp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oxeu.org/article/covid-concussion-and-supply-chain-contagion-waves" TargetMode="External"/><Relationship Id="rId23" Type="http://schemas.openxmlformats.org/officeDocument/2006/relationships/hyperlink" Target="https://portsregulator.org/doc/Ports-Regulator-2022-2023-Tariffs-Record-of-Decision.pdf" TargetMode="External"/><Relationship Id="rId28" Type="http://schemas.openxmlformats.org/officeDocument/2006/relationships/hyperlink" Target="https://portsregulator.org/tariffs-2022-23-tnpa-tariff-application/" TargetMode="External"/><Relationship Id="rId10" Type="http://schemas.openxmlformats.org/officeDocument/2006/relationships/image" Target="media/image3.png"/><Relationship Id="rId19" Type="http://schemas.openxmlformats.org/officeDocument/2006/relationships/hyperlink" Target="https://saiia.org.za/research/south-africas-trade-policy-post-covid-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s://docplayer.net/215775745-Global-pricing-comparator-study-2020-21-port-tariffs.html" TargetMode="External"/><Relationship Id="rId27" Type="http://schemas.openxmlformats.org/officeDocument/2006/relationships/hyperlink" Target="https://unctad.org/news/shipping-during-covid-19-why-container-freight-rates-have-surged" TargetMode="External"/><Relationship Id="rId30" Type="http://schemas.openxmlformats.org/officeDocument/2006/relationships/footer" Target="foot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Navorsing\Journal%20of%20Transport%20and%20Supply%20Chain%20Management%20(2021)\Article%20-%20impact%20of%20COVID%20on%20ports%20(Micky%20-%202021)\Average%20Freight%20Rates%202019-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'Freight rates 2020-2021'!$D$4</c:f>
              <c:strCache>
                <c:ptCount val="1"/>
                <c:pt idx="0">
                  <c:v>CH Average</c:v>
                </c:pt>
              </c:strCache>
            </c:strRef>
          </c:tx>
          <c:spPr>
            <a:ln w="28575" cap="rnd">
              <a:solidFill>
                <a:schemeClr val="accent1"/>
              </a:solidFill>
              <a:round/>
            </a:ln>
            <a:effectLst/>
          </c:spPr>
          <c:marker>
            <c:symbol val="none"/>
          </c:marker>
          <c:cat>
            <c:numRef>
              <c:f>'Freight rates 2020-2021'!$A$5:$A$22</c:f>
              <c:numCache>
                <c:formatCode>mmm\-yy</c:formatCode>
                <c:ptCount val="18"/>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numCache>
            </c:numRef>
          </c:cat>
          <c:val>
            <c:numRef>
              <c:f>'Freight rates 2020-2021'!$D$5:$D$22</c:f>
              <c:numCache>
                <c:formatCode>"R"#,##0</c:formatCode>
                <c:ptCount val="18"/>
                <c:pt idx="0">
                  <c:v>21408.228571428572</c:v>
                </c:pt>
                <c:pt idx="1">
                  <c:v>19127.2</c:v>
                </c:pt>
                <c:pt idx="2">
                  <c:v>24345.81818181818</c:v>
                </c:pt>
                <c:pt idx="3">
                  <c:v>29048.76923076923</c:v>
                </c:pt>
                <c:pt idx="4">
                  <c:v>20531.530612244896</c:v>
                </c:pt>
                <c:pt idx="5">
                  <c:v>18757.942857142858</c:v>
                </c:pt>
                <c:pt idx="6">
                  <c:v>15394.674418604651</c:v>
                </c:pt>
                <c:pt idx="7">
                  <c:v>20519.310344827587</c:v>
                </c:pt>
                <c:pt idx="8">
                  <c:v>22107.625</c:v>
                </c:pt>
                <c:pt idx="9">
                  <c:v>26994.42</c:v>
                </c:pt>
                <c:pt idx="10">
                  <c:v>33767.130952380954</c:v>
                </c:pt>
                <c:pt idx="11">
                  <c:v>44409.033898305082</c:v>
                </c:pt>
                <c:pt idx="12">
                  <c:v>42429.75</c:v>
                </c:pt>
                <c:pt idx="13">
                  <c:v>50006.963414634149</c:v>
                </c:pt>
                <c:pt idx="14">
                  <c:v>63684.294736842108</c:v>
                </c:pt>
                <c:pt idx="15">
                  <c:v>62822.396551724138</c:v>
                </c:pt>
                <c:pt idx="16">
                  <c:v>53390.927835051545</c:v>
                </c:pt>
                <c:pt idx="17">
                  <c:v>60548.494736842105</c:v>
                </c:pt>
              </c:numCache>
            </c:numRef>
          </c:val>
          <c:smooth val="0"/>
          <c:extLst>
            <c:ext xmlns:c16="http://schemas.microsoft.com/office/drawing/2014/chart" uri="{C3380CC4-5D6E-409C-BE32-E72D297353CC}">
              <c16:uniqueId val="{00000000-708C-4C77-9BD1-05EACFD104D5}"/>
            </c:ext>
          </c:extLst>
        </c:ser>
        <c:ser>
          <c:idx val="1"/>
          <c:order val="1"/>
          <c:tx>
            <c:strRef>
              <c:f>'Freight rates 2020-2021'!$G$4</c:f>
              <c:strCache>
                <c:ptCount val="1"/>
                <c:pt idx="0">
                  <c:v>IT Average</c:v>
                </c:pt>
              </c:strCache>
            </c:strRef>
          </c:tx>
          <c:spPr>
            <a:ln w="28575" cap="rnd">
              <a:solidFill>
                <a:schemeClr val="accent2"/>
              </a:solidFill>
              <a:round/>
            </a:ln>
            <a:effectLst/>
          </c:spPr>
          <c:marker>
            <c:symbol val="none"/>
          </c:marker>
          <c:cat>
            <c:numRef>
              <c:f>'Freight rates 2020-2021'!$A$5:$A$22</c:f>
              <c:numCache>
                <c:formatCode>mmm\-yy</c:formatCode>
                <c:ptCount val="18"/>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numCache>
            </c:numRef>
          </c:cat>
          <c:val>
            <c:numRef>
              <c:f>'Freight rates 2020-2021'!$G$5:$G$22</c:f>
              <c:numCache>
                <c:formatCode>"R"#,##0</c:formatCode>
                <c:ptCount val="18"/>
                <c:pt idx="0">
                  <c:v>14179.045454545454</c:v>
                </c:pt>
                <c:pt idx="1">
                  <c:v>17591.941176470587</c:v>
                </c:pt>
                <c:pt idx="2">
                  <c:v>18571.142857142859</c:v>
                </c:pt>
                <c:pt idx="3">
                  <c:v>17529.444444444445</c:v>
                </c:pt>
                <c:pt idx="4">
                  <c:v>19309.75</c:v>
                </c:pt>
                <c:pt idx="5">
                  <c:v>29015.333333333332</c:v>
                </c:pt>
                <c:pt idx="6">
                  <c:v>22119.8</c:v>
                </c:pt>
                <c:pt idx="7">
                  <c:v>29963.647058823528</c:v>
                </c:pt>
                <c:pt idx="8">
                  <c:v>31230.928571428572</c:v>
                </c:pt>
                <c:pt idx="9">
                  <c:v>23487.599999999999</c:v>
                </c:pt>
                <c:pt idx="10">
                  <c:v>28798.666666666668</c:v>
                </c:pt>
                <c:pt idx="11">
                  <c:v>24697.8</c:v>
                </c:pt>
                <c:pt idx="12">
                  <c:v>23361.5</c:v>
                </c:pt>
                <c:pt idx="13">
                  <c:v>25962.5</c:v>
                </c:pt>
                <c:pt idx="14">
                  <c:v>38227</c:v>
                </c:pt>
                <c:pt idx="15">
                  <c:v>25656.375</c:v>
                </c:pt>
                <c:pt idx="16">
                  <c:v>26344.25</c:v>
                </c:pt>
                <c:pt idx="17">
                  <c:v>26457.222222222223</c:v>
                </c:pt>
              </c:numCache>
            </c:numRef>
          </c:val>
          <c:smooth val="0"/>
          <c:extLst>
            <c:ext xmlns:c16="http://schemas.microsoft.com/office/drawing/2014/chart" uri="{C3380CC4-5D6E-409C-BE32-E72D297353CC}">
              <c16:uniqueId val="{00000001-708C-4C77-9BD1-05EACFD104D5}"/>
            </c:ext>
          </c:extLst>
        </c:ser>
        <c:dLbls>
          <c:showLegendKey val="0"/>
          <c:showVal val="0"/>
          <c:showCatName val="0"/>
          <c:showSerName val="0"/>
          <c:showPercent val="0"/>
          <c:showBubbleSize val="0"/>
        </c:dLbls>
        <c:smooth val="0"/>
        <c:axId val="2134943456"/>
        <c:axId val="2134943872"/>
      </c:lineChart>
      <c:dateAx>
        <c:axId val="21349434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43872"/>
        <c:crosses val="autoZero"/>
        <c:auto val="1"/>
        <c:lblOffset val="100"/>
        <c:baseTimeUnit val="months"/>
      </c:dateAx>
      <c:valAx>
        <c:axId val="2134943872"/>
        <c:scaling>
          <c:orientation val="minMax"/>
        </c:scaling>
        <c:delete val="0"/>
        <c:axPos val="l"/>
        <c:majorGridlines>
          <c:spPr>
            <a:ln w="9525" cap="flat" cmpd="sng" algn="ctr">
              <a:solidFill>
                <a:schemeClr val="tx1">
                  <a:lumMod val="15000"/>
                  <a:lumOff val="85000"/>
                </a:schemeClr>
              </a:solidFill>
              <a:round/>
            </a:ln>
            <a:effectLst/>
          </c:spPr>
        </c:majorGridlines>
        <c:numFmt formatCode="&quot;R&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4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111C-B43B-46F5-998D-1D14BA97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8480</Words>
  <Characters>48340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2022-03-30T06:18:00Z</dcterms:created>
  <dcterms:modified xsi:type="dcterms:W3CDTF">2022-05-17T09:40:00Z</dcterms:modified>
</cp:coreProperties>
</file>